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964"/>
        <w:rPr>
          <w:b/>
          <w:sz w:val="48"/>
          <w:szCs w:val="48"/>
        </w:rPr>
      </w:pPr>
      <w:bookmarkStart w:id="0" w:name="_Toc350785456"/>
      <w:r>
        <w:rPr>
          <w:rFonts w:hint="eastAsia"/>
          <w:b/>
          <w:sz w:val="48"/>
          <w:szCs w:val="48"/>
        </w:rPr>
        <w:t>目录</w:t>
      </w:r>
    </w:p>
    <w:p>
      <w:pPr>
        <w:pStyle w:val="18"/>
        <w:tabs>
          <w:tab w:val="right" w:leader="dot" w:pos="9746"/>
        </w:tabs>
      </w:pPr>
      <w:r>
        <w:fldChar w:fldCharType="begin"/>
      </w:r>
      <w:r>
        <w:instrText xml:space="preserve"> TOC \o "1-6" \h \z \u </w:instrText>
      </w:r>
      <w:r>
        <w:fldChar w:fldCharType="separate"/>
      </w:r>
      <w:r>
        <w:fldChar w:fldCharType="begin"/>
      </w:r>
      <w:r>
        <w:instrText xml:space="preserve"> HYPERLINK \l _Toc14414 </w:instrText>
      </w:r>
      <w:r>
        <w:fldChar w:fldCharType="separate"/>
      </w:r>
      <w:r>
        <w:rPr>
          <w:rFonts w:hint="eastAsia"/>
        </w:rPr>
        <w:t>第1章. 前言</w:t>
      </w:r>
      <w:r>
        <w:tab/>
      </w:r>
      <w:r>
        <w:fldChar w:fldCharType="begin"/>
      </w:r>
      <w:r>
        <w:instrText xml:space="preserve"> PAGEREF _Toc14414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9746"/>
        </w:tabs>
      </w:pPr>
      <w:r>
        <w:fldChar w:fldCharType="begin"/>
      </w:r>
      <w:r>
        <w:instrText xml:space="preserve"> HYPERLINK \l _Toc18529 </w:instrText>
      </w:r>
      <w:r>
        <w:fldChar w:fldCharType="separate"/>
      </w:r>
      <w:r>
        <w:rPr>
          <w:lang w:val="en-US"/>
        </w:rPr>
        <w:t xml:space="preserve">1.1 </w:t>
      </w:r>
      <w:r>
        <w:rPr>
          <w:rFonts w:hint="eastAsia"/>
        </w:rPr>
        <w:t>编写目的</w:t>
      </w:r>
      <w:r>
        <w:tab/>
      </w:r>
      <w:r>
        <w:fldChar w:fldCharType="begin"/>
      </w:r>
      <w:r>
        <w:instrText xml:space="preserve"> PAGEREF _Toc18529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9746"/>
        </w:tabs>
      </w:pPr>
      <w:r>
        <w:fldChar w:fldCharType="begin"/>
      </w:r>
      <w:r>
        <w:instrText xml:space="preserve"> HYPERLINK \l _Toc12583 </w:instrText>
      </w:r>
      <w:r>
        <w:fldChar w:fldCharType="separate"/>
      </w:r>
      <w:r>
        <w:rPr>
          <w:lang w:val="en-US"/>
        </w:rPr>
        <w:t xml:space="preserve">1.2 </w:t>
      </w:r>
      <w:r>
        <w:rPr>
          <w:rFonts w:hint="eastAsia"/>
        </w:rPr>
        <w:t>使用者范围</w:t>
      </w:r>
      <w:r>
        <w:tab/>
      </w:r>
      <w:r>
        <w:fldChar w:fldCharType="begin"/>
      </w:r>
      <w:r>
        <w:instrText xml:space="preserve"> PAGEREF _Toc12583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9746"/>
        </w:tabs>
      </w:pPr>
      <w:r>
        <w:fldChar w:fldCharType="begin"/>
      </w:r>
      <w:r>
        <w:instrText xml:space="preserve"> HYPERLINK \l _Toc6532 </w:instrText>
      </w:r>
      <w:r>
        <w:fldChar w:fldCharType="separate"/>
      </w:r>
      <w:r>
        <w:rPr>
          <w:lang w:val="en-US"/>
        </w:rPr>
        <w:t xml:space="preserve">1.3 </w:t>
      </w:r>
      <w:r>
        <w:rPr>
          <w:rFonts w:hint="eastAsia"/>
        </w:rPr>
        <w:t>读者对象</w:t>
      </w:r>
      <w:r>
        <w:tab/>
      </w:r>
      <w:r>
        <w:fldChar w:fldCharType="begin"/>
      </w:r>
      <w:r>
        <w:instrText xml:space="preserve"> PAGEREF _Toc6532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9746"/>
        </w:tabs>
      </w:pPr>
      <w:r>
        <w:fldChar w:fldCharType="begin"/>
      </w:r>
      <w:r>
        <w:instrText xml:space="preserve"> HYPERLINK \l _Toc28490 </w:instrText>
      </w:r>
      <w:r>
        <w:fldChar w:fldCharType="separate"/>
      </w:r>
      <w:r>
        <w:rPr>
          <w:lang w:val="en-US"/>
        </w:rPr>
        <w:t xml:space="preserve">1.4 </w:t>
      </w:r>
      <w:r>
        <w:rPr>
          <w:rFonts w:hint="eastAsia"/>
        </w:rPr>
        <w:t>环境要求</w:t>
      </w:r>
      <w:r>
        <w:tab/>
      </w:r>
      <w:r>
        <w:fldChar w:fldCharType="begin"/>
      </w:r>
      <w:r>
        <w:instrText xml:space="preserve"> PAGEREF _Toc28490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9746"/>
        </w:tabs>
      </w:pPr>
      <w:r>
        <w:fldChar w:fldCharType="begin"/>
      </w:r>
      <w:r>
        <w:instrText xml:space="preserve"> HYPERLINK \l _Toc7314 </w:instrText>
      </w:r>
      <w:r>
        <w:fldChar w:fldCharType="separate"/>
      </w:r>
      <w:r>
        <w:rPr>
          <w:rFonts w:hint="eastAsia"/>
        </w:rPr>
        <w:t>第2章. 系统概述</w:t>
      </w:r>
      <w:r>
        <w:tab/>
      </w:r>
      <w:r>
        <w:fldChar w:fldCharType="begin"/>
      </w:r>
      <w:r>
        <w:instrText xml:space="preserve"> PAGEREF _Toc7314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9746"/>
        </w:tabs>
      </w:pPr>
      <w:r>
        <w:fldChar w:fldCharType="begin"/>
      </w:r>
      <w:r>
        <w:instrText xml:space="preserve"> HYPERLINK \l _Toc14176 </w:instrText>
      </w:r>
      <w:r>
        <w:fldChar w:fldCharType="separate"/>
      </w:r>
      <w:r>
        <w:rPr>
          <w:lang w:val="en-US"/>
        </w:rPr>
        <w:t xml:space="preserve">2.1 </w:t>
      </w:r>
      <w:r>
        <w:rPr>
          <w:rFonts w:hint="eastAsia"/>
        </w:rPr>
        <w:t>范围及应用场景说明</w:t>
      </w:r>
      <w:r>
        <w:tab/>
      </w:r>
      <w:r>
        <w:fldChar w:fldCharType="begin"/>
      </w:r>
      <w:r>
        <w:instrText xml:space="preserve"> PAGEREF _Toc14176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9746"/>
        </w:tabs>
      </w:pPr>
      <w:r>
        <w:fldChar w:fldCharType="begin"/>
      </w:r>
      <w:r>
        <w:instrText xml:space="preserve"> HYPERLINK \l _Toc13237 </w:instrText>
      </w:r>
      <w:r>
        <w:fldChar w:fldCharType="separate"/>
      </w:r>
      <w:r>
        <w:rPr>
          <w:rFonts w:hint="eastAsia"/>
        </w:rPr>
        <w:t>第3章. 用户注册</w:t>
      </w:r>
      <w:r>
        <w:tab/>
      </w:r>
      <w:r>
        <w:fldChar w:fldCharType="begin"/>
      </w:r>
      <w:r>
        <w:instrText xml:space="preserve"> PAGEREF _Toc13237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9746"/>
        </w:tabs>
      </w:pPr>
      <w:r>
        <w:fldChar w:fldCharType="begin"/>
      </w:r>
      <w:r>
        <w:instrText xml:space="preserve"> HYPERLINK \l _Toc31336 </w:instrText>
      </w:r>
      <w:r>
        <w:fldChar w:fldCharType="separate"/>
      </w:r>
      <w:r>
        <w:rPr>
          <w:lang w:val="en-US"/>
        </w:rPr>
        <w:t xml:space="preserve">3.1 </w:t>
      </w:r>
      <w:r>
        <w:rPr>
          <w:rFonts w:hint="eastAsia"/>
        </w:rPr>
        <w:t>企业注册</w:t>
      </w:r>
      <w:r>
        <w:tab/>
      </w:r>
      <w:r>
        <w:fldChar w:fldCharType="begin"/>
      </w:r>
      <w:r>
        <w:instrText xml:space="preserve"> PAGEREF _Toc31336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9746"/>
        </w:tabs>
      </w:pPr>
      <w:r>
        <w:fldChar w:fldCharType="begin"/>
      </w:r>
      <w:r>
        <w:instrText xml:space="preserve"> HYPERLINK \l _Toc19821 </w:instrText>
      </w:r>
      <w:r>
        <w:fldChar w:fldCharType="separate"/>
      </w:r>
      <w:r>
        <w:rPr>
          <w:lang w:val="en-US"/>
        </w:rPr>
        <w:t xml:space="preserve">3.2 </w:t>
      </w:r>
      <w:r>
        <w:rPr>
          <w:rFonts w:hint="eastAsia"/>
        </w:rPr>
        <w:t>企业登录</w:t>
      </w:r>
      <w:r>
        <w:t>界面</w:t>
      </w:r>
      <w:r>
        <w:tab/>
      </w:r>
      <w:r>
        <w:fldChar w:fldCharType="begin"/>
      </w:r>
      <w:r>
        <w:instrText xml:space="preserve"> PAGEREF _Toc19821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_Toc4211 </w:instrText>
      </w:r>
      <w:r>
        <w:fldChar w:fldCharType="separate"/>
      </w:r>
      <w:r>
        <w:t xml:space="preserve">3.2.1 </w:t>
      </w:r>
      <w:r>
        <w:rPr>
          <w:rFonts w:hint="eastAsia"/>
        </w:rPr>
        <w:t>企业</w:t>
      </w:r>
      <w:r>
        <w:t>信息修改</w:t>
      </w:r>
      <w:r>
        <w:tab/>
      </w:r>
      <w:r>
        <w:fldChar w:fldCharType="begin"/>
      </w:r>
      <w:r>
        <w:instrText xml:space="preserve"> PAGEREF _Toc4211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_Toc16077 </w:instrText>
      </w:r>
      <w:r>
        <w:fldChar w:fldCharType="separate"/>
      </w:r>
      <w:r>
        <w:t>3.2.2 修改</w:t>
      </w:r>
      <w:r>
        <w:rPr>
          <w:rFonts w:hint="eastAsia"/>
        </w:rPr>
        <w:t>密码</w:t>
      </w:r>
      <w:r>
        <w:tab/>
      </w:r>
      <w:r>
        <w:fldChar w:fldCharType="begin"/>
      </w:r>
      <w:r>
        <w:instrText xml:space="preserve"> PAGEREF _Toc16077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9746"/>
        </w:tabs>
      </w:pPr>
      <w:r>
        <w:fldChar w:fldCharType="begin"/>
      </w:r>
      <w:r>
        <w:instrText xml:space="preserve"> HYPERLINK \l _Toc2672 </w:instrText>
      </w:r>
      <w:r>
        <w:fldChar w:fldCharType="separate"/>
      </w:r>
      <w:r>
        <w:rPr>
          <w:rFonts w:hint="eastAsia"/>
        </w:rPr>
        <w:t>第4章. 承装修试企业许可</w:t>
      </w:r>
      <w:r>
        <w:t>申请</w:t>
      </w:r>
      <w:r>
        <w:tab/>
      </w:r>
      <w:r>
        <w:fldChar w:fldCharType="begin"/>
      </w:r>
      <w:r>
        <w:instrText xml:space="preserve"> PAGEREF _Toc2672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9746"/>
        </w:tabs>
      </w:pPr>
      <w:r>
        <w:fldChar w:fldCharType="begin"/>
      </w:r>
      <w:r>
        <w:instrText xml:space="preserve"> HYPERLINK \l _Toc11430 </w:instrText>
      </w:r>
      <w:r>
        <w:fldChar w:fldCharType="separate"/>
      </w:r>
      <w:r>
        <w:rPr>
          <w:lang w:val="en-US"/>
        </w:rPr>
        <w:t xml:space="preserve">4.1 </w:t>
      </w:r>
      <w:r>
        <w:rPr>
          <w:rFonts w:hint="eastAsia"/>
        </w:rPr>
        <w:t>许可证新申请数据</w:t>
      </w:r>
      <w:r>
        <w:t>填报</w:t>
      </w:r>
      <w:r>
        <w:tab/>
      </w:r>
      <w:r>
        <w:fldChar w:fldCharType="begin"/>
      </w:r>
      <w:r>
        <w:instrText xml:space="preserve"> PAGEREF _Toc11430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_Toc23319 </w:instrText>
      </w:r>
      <w:r>
        <w:fldChar w:fldCharType="separate"/>
      </w:r>
      <w:r>
        <w:t xml:space="preserve">4.1.1 </w:t>
      </w:r>
      <w:r>
        <w:rPr>
          <w:rFonts w:hint="eastAsia"/>
        </w:rPr>
        <w:t>申请类别</w:t>
      </w:r>
      <w:r>
        <w:t>界面</w:t>
      </w:r>
      <w:r>
        <w:tab/>
      </w:r>
      <w:r>
        <w:fldChar w:fldCharType="begin"/>
      </w:r>
      <w:r>
        <w:instrText xml:space="preserve"> PAGEREF _Toc23319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_Toc25397 </w:instrText>
      </w:r>
      <w:r>
        <w:fldChar w:fldCharType="separate"/>
      </w:r>
      <w:r>
        <w:t xml:space="preserve">4.1.2 </w:t>
      </w:r>
      <w:r>
        <w:rPr>
          <w:rFonts w:hint="eastAsia"/>
        </w:rPr>
        <w:t>基本</w:t>
      </w:r>
      <w:r>
        <w:t>情况界面</w:t>
      </w:r>
      <w:r>
        <w:tab/>
      </w:r>
      <w:r>
        <w:fldChar w:fldCharType="begin"/>
      </w:r>
      <w:r>
        <w:instrText xml:space="preserve"> PAGEREF _Toc25397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_Toc22649 </w:instrText>
      </w:r>
      <w:r>
        <w:fldChar w:fldCharType="separate"/>
      </w:r>
      <w:r>
        <w:t xml:space="preserve">4.1.3 </w:t>
      </w:r>
      <w:r>
        <w:rPr>
          <w:rFonts w:hint="eastAsia"/>
        </w:rPr>
        <w:t>技术及经济管理人员界面</w:t>
      </w:r>
      <w:r>
        <w:tab/>
      </w:r>
      <w:r>
        <w:fldChar w:fldCharType="begin"/>
      </w:r>
      <w:r>
        <w:instrText xml:space="preserve"> PAGEREF _Toc22649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_Toc14343 </w:instrText>
      </w:r>
      <w:r>
        <w:fldChar w:fldCharType="separate"/>
      </w:r>
      <w:r>
        <w:t xml:space="preserve">4.1.4 </w:t>
      </w:r>
      <w:r>
        <w:rPr>
          <w:rFonts w:hint="eastAsia"/>
        </w:rPr>
        <w:t>技术负责人界面</w:t>
      </w:r>
      <w:r>
        <w:tab/>
      </w:r>
      <w:r>
        <w:fldChar w:fldCharType="begin"/>
      </w:r>
      <w:r>
        <w:instrText xml:space="preserve"> PAGEREF _Toc14343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_Toc25277 </w:instrText>
      </w:r>
      <w:r>
        <w:fldChar w:fldCharType="separate"/>
      </w:r>
      <w:r>
        <w:t xml:space="preserve">4.1.5 </w:t>
      </w:r>
      <w:r>
        <w:rPr>
          <w:rFonts w:hint="eastAsia"/>
        </w:rPr>
        <w:t>安全负责人界面</w:t>
      </w:r>
      <w:r>
        <w:tab/>
      </w:r>
      <w:r>
        <w:fldChar w:fldCharType="begin"/>
      </w:r>
      <w:r>
        <w:instrText xml:space="preserve"> PAGEREF _Toc25277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_Toc12335 </w:instrText>
      </w:r>
      <w:r>
        <w:fldChar w:fldCharType="separate"/>
      </w:r>
      <w:r>
        <w:t xml:space="preserve">4.1.6 </w:t>
      </w:r>
      <w:r>
        <w:rPr>
          <w:rFonts w:hint="eastAsia"/>
        </w:rPr>
        <w:t>安全监督人员界面</w:t>
      </w:r>
      <w:r>
        <w:tab/>
      </w:r>
      <w:r>
        <w:fldChar w:fldCharType="begin"/>
      </w:r>
      <w:r>
        <w:instrText xml:space="preserve"> PAGEREF _Toc12335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_Toc8717 </w:instrText>
      </w:r>
      <w:r>
        <w:fldChar w:fldCharType="separate"/>
      </w:r>
      <w:r>
        <w:t xml:space="preserve">4.1.7 </w:t>
      </w:r>
      <w:r>
        <w:rPr>
          <w:rFonts w:hint="eastAsia"/>
        </w:rPr>
        <w:t>持电工进网作业许可证人员界面</w:t>
      </w:r>
      <w:r>
        <w:tab/>
      </w:r>
      <w:r>
        <w:fldChar w:fldCharType="begin"/>
      </w:r>
      <w:r>
        <w:instrText xml:space="preserve"> PAGEREF _Toc8717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_Toc13575 </w:instrText>
      </w:r>
      <w:r>
        <w:fldChar w:fldCharType="separate"/>
      </w:r>
      <w:r>
        <w:rPr>
          <w:lang w:val="en-US"/>
        </w:rPr>
        <w:t xml:space="preserve">4.1.8 </w:t>
      </w:r>
      <w:r>
        <w:rPr>
          <w:rFonts w:hint="eastAsia"/>
        </w:rPr>
        <w:t>质检人员（专人专岗）</w:t>
      </w:r>
      <w:r>
        <w:tab/>
      </w:r>
      <w:r>
        <w:fldChar w:fldCharType="begin"/>
      </w:r>
      <w:r>
        <w:instrText xml:space="preserve"> PAGEREF _Toc13575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_Toc7373 </w:instrText>
      </w:r>
      <w:r>
        <w:fldChar w:fldCharType="separate"/>
      </w:r>
      <w:r>
        <w:t xml:space="preserve">4.1.9 </w:t>
      </w:r>
      <w:r>
        <w:rPr>
          <w:rFonts w:hint="eastAsia"/>
        </w:rPr>
        <w:t>工程业绩界面</w:t>
      </w:r>
      <w:r>
        <w:tab/>
      </w:r>
      <w:r>
        <w:fldChar w:fldCharType="begin"/>
      </w:r>
      <w:r>
        <w:instrText xml:space="preserve"> PAGEREF _Toc7373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_Toc13324 </w:instrText>
      </w:r>
      <w:r>
        <w:fldChar w:fldCharType="separate"/>
      </w:r>
      <w:r>
        <w:t xml:space="preserve">4.1.10 </w:t>
      </w:r>
      <w:r>
        <w:rPr>
          <w:rFonts w:hint="eastAsia"/>
        </w:rPr>
        <w:t>机具设备</w:t>
      </w:r>
      <w:r>
        <w:tab/>
      </w:r>
      <w:r>
        <w:fldChar w:fldCharType="begin"/>
      </w:r>
      <w:r>
        <w:instrText xml:space="preserve"> PAGEREF _Toc13324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_Toc12424 </w:instrText>
      </w:r>
      <w:r>
        <w:fldChar w:fldCharType="separate"/>
      </w:r>
      <w:r>
        <w:t xml:space="preserve">4.1.11 </w:t>
      </w:r>
      <w:r>
        <w:rPr>
          <w:rFonts w:hint="eastAsia"/>
        </w:rPr>
        <w:t>专业实验室（厅）情况界面</w:t>
      </w:r>
      <w:r>
        <w:tab/>
      </w:r>
      <w:r>
        <w:fldChar w:fldCharType="begin"/>
      </w:r>
      <w:r>
        <w:instrText xml:space="preserve"> PAGEREF _Toc12424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_Toc10909 </w:instrText>
      </w:r>
      <w:r>
        <w:fldChar w:fldCharType="separate"/>
      </w:r>
      <w:r>
        <w:t xml:space="preserve">4.1.12 </w:t>
      </w:r>
      <w:r>
        <w:rPr>
          <w:rFonts w:hint="eastAsia"/>
        </w:rPr>
        <w:t>容缺受理</w:t>
      </w:r>
      <w:r>
        <w:tab/>
      </w:r>
      <w:r>
        <w:fldChar w:fldCharType="begin"/>
      </w:r>
      <w:r>
        <w:instrText xml:space="preserve"> PAGEREF _Toc10909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_Toc2867 </w:instrText>
      </w:r>
      <w:r>
        <w:fldChar w:fldCharType="separate"/>
      </w:r>
      <w:r>
        <w:t xml:space="preserve">4.1.13 </w:t>
      </w:r>
      <w:r>
        <w:rPr>
          <w:rFonts w:hint="eastAsia"/>
        </w:rPr>
        <w:t>自贸区</w:t>
      </w:r>
      <w:r>
        <w:tab/>
      </w:r>
      <w:r>
        <w:fldChar w:fldCharType="begin"/>
      </w:r>
      <w:r>
        <w:instrText xml:space="preserve"> PAGEREF _Toc2867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9746"/>
        </w:tabs>
      </w:pPr>
      <w:r>
        <w:fldChar w:fldCharType="begin"/>
      </w:r>
      <w:r>
        <w:instrText xml:space="preserve"> HYPERLINK \l _Toc25760 </w:instrText>
      </w:r>
      <w:r>
        <w:fldChar w:fldCharType="separate"/>
      </w:r>
      <w:r>
        <w:rPr>
          <w:lang w:val="en-US"/>
        </w:rPr>
        <w:t xml:space="preserve">4.2 </w:t>
      </w:r>
      <w:r>
        <w:rPr>
          <w:rFonts w:hint="eastAsia"/>
        </w:rPr>
        <w:t>登记事项变更外网填报</w:t>
      </w:r>
      <w:r>
        <w:tab/>
      </w:r>
      <w:r>
        <w:fldChar w:fldCharType="begin"/>
      </w:r>
      <w:r>
        <w:instrText xml:space="preserve"> PAGEREF _Toc25760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_Toc28609 </w:instrText>
      </w:r>
      <w:r>
        <w:fldChar w:fldCharType="separate"/>
      </w:r>
      <w:r>
        <w:t xml:space="preserve">4.2.1 </w:t>
      </w:r>
      <w:r>
        <w:rPr>
          <w:rFonts w:hint="eastAsia"/>
        </w:rPr>
        <w:t>基本情况</w:t>
      </w:r>
      <w:r>
        <w:tab/>
      </w:r>
      <w:r>
        <w:fldChar w:fldCharType="begin"/>
      </w:r>
      <w:r>
        <w:instrText xml:space="preserve"> PAGEREF _Toc28609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_Toc11606 </w:instrText>
      </w:r>
      <w:r>
        <w:fldChar w:fldCharType="separate"/>
      </w:r>
      <w:r>
        <w:t xml:space="preserve">4.2.2 </w:t>
      </w:r>
      <w:r>
        <w:rPr>
          <w:rFonts w:hint="eastAsia"/>
        </w:rPr>
        <w:t>申请变更内容界面</w:t>
      </w:r>
      <w:r>
        <w:tab/>
      </w:r>
      <w:r>
        <w:fldChar w:fldCharType="begin"/>
      </w:r>
      <w:r>
        <w:instrText xml:space="preserve"> PAGEREF _Toc11606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_Toc10266 </w:instrText>
      </w:r>
      <w:r>
        <w:fldChar w:fldCharType="separate"/>
      </w:r>
      <w:r>
        <w:t xml:space="preserve">4.2.3 </w:t>
      </w:r>
      <w:r>
        <w:rPr>
          <w:rFonts w:hint="eastAsia"/>
        </w:rPr>
        <w:t>申请附件及明细界面</w:t>
      </w:r>
      <w:r>
        <w:tab/>
      </w:r>
      <w:r>
        <w:fldChar w:fldCharType="begin"/>
      </w:r>
      <w:r>
        <w:instrText xml:space="preserve"> PAGEREF _Toc10266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_Toc27635 </w:instrText>
      </w:r>
      <w:r>
        <w:fldChar w:fldCharType="separate"/>
      </w:r>
      <w:r>
        <w:t xml:space="preserve">4.2.4 </w:t>
      </w:r>
      <w:r>
        <w:rPr>
          <w:rFonts w:hint="eastAsia"/>
        </w:rPr>
        <w:t>自贸区</w:t>
      </w:r>
      <w:r>
        <w:tab/>
      </w:r>
      <w:r>
        <w:fldChar w:fldCharType="begin"/>
      </w:r>
      <w:r>
        <w:instrText xml:space="preserve"> PAGEREF _Toc27635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9746"/>
        </w:tabs>
      </w:pPr>
      <w:r>
        <w:fldChar w:fldCharType="begin"/>
      </w:r>
      <w:r>
        <w:instrText xml:space="preserve"> HYPERLINK \l _Toc22508 </w:instrText>
      </w:r>
      <w:r>
        <w:fldChar w:fldCharType="separate"/>
      </w:r>
      <w:r>
        <w:rPr>
          <w:lang w:val="en-US"/>
        </w:rPr>
        <w:t xml:space="preserve">4.3 </w:t>
      </w:r>
      <w:r>
        <w:rPr>
          <w:rFonts w:hint="eastAsia"/>
        </w:rPr>
        <w:t>许可事项变更外网填报</w:t>
      </w:r>
      <w:r>
        <w:tab/>
      </w:r>
      <w:r>
        <w:fldChar w:fldCharType="begin"/>
      </w:r>
      <w:r>
        <w:instrText xml:space="preserve"> PAGEREF _Toc22508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_Toc12710 </w:instrText>
      </w:r>
      <w:r>
        <w:fldChar w:fldCharType="separate"/>
      </w:r>
      <w:r>
        <w:t xml:space="preserve">4.3.1 </w:t>
      </w:r>
      <w:r>
        <w:rPr>
          <w:rFonts w:hint="eastAsia"/>
        </w:rPr>
        <w:t>申请信息界面</w:t>
      </w:r>
      <w:r>
        <w:tab/>
      </w:r>
      <w:r>
        <w:fldChar w:fldCharType="begin"/>
      </w:r>
      <w:r>
        <w:instrText xml:space="preserve"> PAGEREF _Toc12710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_Toc16119 </w:instrText>
      </w:r>
      <w:r>
        <w:fldChar w:fldCharType="separate"/>
      </w:r>
      <w:r>
        <w:t xml:space="preserve">4.3.2 </w:t>
      </w:r>
      <w:r>
        <w:rPr>
          <w:rFonts w:hint="eastAsia"/>
        </w:rPr>
        <w:t>基本情况界面</w:t>
      </w:r>
      <w:r>
        <w:tab/>
      </w:r>
      <w:r>
        <w:fldChar w:fldCharType="begin"/>
      </w:r>
      <w:r>
        <w:instrText xml:space="preserve"> PAGEREF _Toc16119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_Toc11577 </w:instrText>
      </w:r>
      <w:r>
        <w:fldChar w:fldCharType="separate"/>
      </w:r>
      <w:r>
        <w:t xml:space="preserve">4.3.3 </w:t>
      </w:r>
      <w:r>
        <w:rPr>
          <w:rFonts w:hint="eastAsia"/>
        </w:rPr>
        <w:t>技术负责人界面</w:t>
      </w:r>
      <w:r>
        <w:tab/>
      </w:r>
      <w:r>
        <w:fldChar w:fldCharType="begin"/>
      </w:r>
      <w:r>
        <w:instrText xml:space="preserve"> PAGEREF _Toc11577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_Toc11967 </w:instrText>
      </w:r>
      <w:r>
        <w:fldChar w:fldCharType="separate"/>
      </w:r>
      <w:r>
        <w:t xml:space="preserve">4.3.4 </w:t>
      </w:r>
      <w:r>
        <w:rPr>
          <w:rFonts w:hint="eastAsia"/>
        </w:rPr>
        <w:t>安全负责人界面</w:t>
      </w:r>
      <w:r>
        <w:tab/>
      </w:r>
      <w:r>
        <w:fldChar w:fldCharType="begin"/>
      </w:r>
      <w:r>
        <w:instrText xml:space="preserve"> PAGEREF _Toc11967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_Toc22651 </w:instrText>
      </w:r>
      <w:r>
        <w:fldChar w:fldCharType="separate"/>
      </w:r>
      <w:r>
        <w:t xml:space="preserve">4.3.5 </w:t>
      </w:r>
      <w:r>
        <w:rPr>
          <w:rFonts w:hint="eastAsia"/>
          <w:lang w:eastAsia="zh-CN"/>
        </w:rPr>
        <w:t>电力相关专业技能人员</w:t>
      </w:r>
      <w:r>
        <w:tab/>
      </w:r>
      <w:r>
        <w:fldChar w:fldCharType="begin"/>
      </w:r>
      <w:r>
        <w:instrText xml:space="preserve"> PAGEREF _Toc22651 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_Toc22218 </w:instrText>
      </w:r>
      <w:r>
        <w:fldChar w:fldCharType="separate"/>
      </w:r>
      <w:r>
        <w:t xml:space="preserve">4.3.6 </w:t>
      </w:r>
      <w:r>
        <w:rPr>
          <w:rFonts w:hint="eastAsia"/>
          <w:lang w:eastAsia="zh-CN"/>
        </w:rPr>
        <w:t>电力相关专业技能人员</w:t>
      </w:r>
      <w:r>
        <w:tab/>
      </w:r>
      <w:r>
        <w:fldChar w:fldCharType="begin"/>
      </w:r>
      <w:r>
        <w:instrText xml:space="preserve"> PAGEREF _Toc22218 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_Toc5636 </w:instrText>
      </w:r>
      <w:r>
        <w:fldChar w:fldCharType="separate"/>
      </w:r>
      <w:r>
        <w:t xml:space="preserve">4.3.7 </w:t>
      </w:r>
      <w:r>
        <w:rPr>
          <w:rFonts w:hint="eastAsia"/>
          <w:lang w:eastAsia="zh-CN"/>
        </w:rPr>
        <w:t>规定年限内主要业绩</w:t>
      </w:r>
      <w:r>
        <w:tab/>
      </w:r>
      <w:r>
        <w:fldChar w:fldCharType="begin"/>
      </w:r>
      <w:r>
        <w:instrText xml:space="preserve"> PAGEREF _Toc5636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_Toc25556 </w:instrText>
      </w:r>
      <w:r>
        <w:fldChar w:fldCharType="separate"/>
      </w:r>
      <w:r>
        <w:rPr>
          <w:lang w:val="en-US"/>
        </w:rPr>
        <w:t xml:space="preserve">4.3.8 </w:t>
      </w:r>
      <w:r>
        <w:rPr>
          <w:rFonts w:hint="eastAsia"/>
          <w:lang w:val="en-US"/>
        </w:rPr>
        <w:t>资料提交</w:t>
      </w:r>
      <w:r>
        <w:tab/>
      </w:r>
      <w:r>
        <w:fldChar w:fldCharType="begin"/>
      </w:r>
      <w:r>
        <w:instrText xml:space="preserve"> PAGEREF _Toc25556 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_Toc27160 </w:instrText>
      </w:r>
      <w:r>
        <w:fldChar w:fldCharType="separate"/>
      </w:r>
      <w:r>
        <w:rPr>
          <w:lang w:val="en-US"/>
        </w:rPr>
        <w:t xml:space="preserve">4.3.9 </w:t>
      </w:r>
      <w:r>
        <w:rPr>
          <w:rFonts w:hint="eastAsia"/>
          <w:lang w:val="en-US"/>
        </w:rPr>
        <w:t>申请废弃</w:t>
      </w:r>
      <w:r>
        <w:tab/>
      </w:r>
      <w:r>
        <w:fldChar w:fldCharType="begin"/>
      </w:r>
      <w:r>
        <w:instrText xml:space="preserve"> PAGEREF _Toc27160 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_Toc4513 </w:instrText>
      </w:r>
      <w:r>
        <w:fldChar w:fldCharType="separate"/>
      </w:r>
      <w:r>
        <w:t xml:space="preserve">4.3.10 </w:t>
      </w:r>
      <w:r>
        <w:rPr>
          <w:rFonts w:hint="eastAsia"/>
        </w:rPr>
        <w:t>容缺受理</w:t>
      </w:r>
      <w:r>
        <w:tab/>
      </w:r>
      <w:r>
        <w:fldChar w:fldCharType="begin"/>
      </w:r>
      <w:r>
        <w:instrText xml:space="preserve"> PAGEREF _Toc4513 </w:instrText>
      </w:r>
      <w:r>
        <w:fldChar w:fldCharType="separate"/>
      </w:r>
      <w:r>
        <w:t>44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_Toc4025 </w:instrText>
      </w:r>
      <w:r>
        <w:fldChar w:fldCharType="separate"/>
      </w:r>
      <w:r>
        <w:t xml:space="preserve">4.3.11 </w:t>
      </w:r>
      <w:r>
        <w:rPr>
          <w:rFonts w:hint="eastAsia"/>
        </w:rPr>
        <w:t>自贸区</w:t>
      </w:r>
      <w:r>
        <w:tab/>
      </w:r>
      <w:r>
        <w:fldChar w:fldCharType="begin"/>
      </w:r>
      <w:r>
        <w:instrText xml:space="preserve"> PAGEREF _Toc4025 </w:instrText>
      </w:r>
      <w:r>
        <w:fldChar w:fldCharType="separate"/>
      </w:r>
      <w:r>
        <w:t>44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9746"/>
        </w:tabs>
      </w:pPr>
      <w:r>
        <w:fldChar w:fldCharType="begin"/>
      </w:r>
      <w:r>
        <w:instrText xml:space="preserve"> HYPERLINK \l _Toc3151 </w:instrText>
      </w:r>
      <w:r>
        <w:fldChar w:fldCharType="separate"/>
      </w:r>
      <w:r>
        <w:rPr>
          <w:lang w:val="en-US"/>
        </w:rPr>
        <w:t xml:space="preserve">4.4 </w:t>
      </w:r>
      <w:r>
        <w:rPr>
          <w:rFonts w:hint="eastAsia"/>
        </w:rPr>
        <w:t>许可证延续</w:t>
      </w:r>
      <w:r>
        <w:tab/>
      </w:r>
      <w:r>
        <w:fldChar w:fldCharType="begin"/>
      </w:r>
      <w:r>
        <w:instrText xml:space="preserve"> PAGEREF _Toc3151 </w:instrText>
      </w:r>
      <w:r>
        <w:fldChar w:fldCharType="separate"/>
      </w:r>
      <w:r>
        <w:t>45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_Toc29473 </w:instrText>
      </w:r>
      <w:r>
        <w:fldChar w:fldCharType="separate"/>
      </w:r>
      <w:r>
        <w:t xml:space="preserve">4.4.1 </w:t>
      </w:r>
      <w:r>
        <w:rPr>
          <w:rFonts w:hint="eastAsia"/>
        </w:rPr>
        <w:t>基本情况界面</w:t>
      </w:r>
      <w:r>
        <w:tab/>
      </w:r>
      <w:r>
        <w:fldChar w:fldCharType="begin"/>
      </w:r>
      <w:r>
        <w:instrText xml:space="preserve"> PAGEREF _Toc29473 </w:instrText>
      </w:r>
      <w:r>
        <w:fldChar w:fldCharType="separate"/>
      </w:r>
      <w:r>
        <w:t>45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_Toc9565 </w:instrText>
      </w:r>
      <w:r>
        <w:fldChar w:fldCharType="separate"/>
      </w:r>
      <w:r>
        <w:t xml:space="preserve">4.4.2 </w:t>
      </w:r>
      <w:r>
        <w:rPr>
          <w:rFonts w:hint="eastAsia"/>
        </w:rPr>
        <w:t>技术负责人界面</w:t>
      </w:r>
      <w:r>
        <w:tab/>
      </w:r>
      <w:r>
        <w:fldChar w:fldCharType="begin"/>
      </w:r>
      <w:r>
        <w:instrText xml:space="preserve"> PAGEREF _Toc9565 </w:instrText>
      </w:r>
      <w:r>
        <w:fldChar w:fldCharType="separate"/>
      </w:r>
      <w:r>
        <w:t>47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_Toc9536 </w:instrText>
      </w:r>
      <w:r>
        <w:fldChar w:fldCharType="separate"/>
      </w:r>
      <w:r>
        <w:t xml:space="preserve">4.4.3 </w:t>
      </w:r>
      <w:r>
        <w:rPr>
          <w:rFonts w:hint="eastAsia"/>
        </w:rPr>
        <w:t>安全负责人界面</w:t>
      </w:r>
      <w:r>
        <w:tab/>
      </w:r>
      <w:r>
        <w:fldChar w:fldCharType="begin"/>
      </w:r>
      <w:r>
        <w:instrText xml:space="preserve"> PAGEREF _Toc9536 </w:instrText>
      </w:r>
      <w:r>
        <w:fldChar w:fldCharType="separate"/>
      </w:r>
      <w:r>
        <w:t>48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_Toc16832 </w:instrText>
      </w:r>
      <w:r>
        <w:fldChar w:fldCharType="separate"/>
      </w:r>
      <w:r>
        <w:t xml:space="preserve">4.4.4 </w:t>
      </w:r>
      <w:r>
        <w:rPr>
          <w:rFonts w:hint="eastAsia"/>
          <w:lang w:eastAsia="zh-CN"/>
        </w:rPr>
        <w:t>电力相关技术人员</w:t>
      </w:r>
      <w:r>
        <w:tab/>
      </w:r>
      <w:r>
        <w:fldChar w:fldCharType="begin"/>
      </w:r>
      <w:r>
        <w:instrText xml:space="preserve"> PAGEREF _Toc16832 </w:instrText>
      </w:r>
      <w:r>
        <w:fldChar w:fldCharType="separate"/>
      </w:r>
      <w:r>
        <w:t>50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_Toc14322 </w:instrText>
      </w:r>
      <w:r>
        <w:fldChar w:fldCharType="separate"/>
      </w:r>
      <w:r>
        <w:t xml:space="preserve">4.4.5 </w:t>
      </w:r>
      <w:r>
        <w:rPr>
          <w:rFonts w:hint="eastAsia"/>
          <w:lang w:eastAsia="zh-CN"/>
        </w:rPr>
        <w:t>电力相关专业技能</w:t>
      </w:r>
      <w:r>
        <w:rPr>
          <w:rFonts w:hint="eastAsia"/>
        </w:rPr>
        <w:t>人员界面</w:t>
      </w:r>
      <w:r>
        <w:tab/>
      </w:r>
      <w:r>
        <w:fldChar w:fldCharType="begin"/>
      </w:r>
      <w:r>
        <w:instrText xml:space="preserve"> PAGEREF _Toc14322 </w:instrText>
      </w:r>
      <w:r>
        <w:fldChar w:fldCharType="separate"/>
      </w:r>
      <w:r>
        <w:t>51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_Toc20920 </w:instrText>
      </w:r>
      <w:r>
        <w:fldChar w:fldCharType="separate"/>
      </w:r>
      <w:r>
        <w:t xml:space="preserve">4.4.6 </w:t>
      </w:r>
      <w:r>
        <w:rPr>
          <w:rFonts w:hint="eastAsia"/>
          <w:lang w:eastAsia="zh-CN"/>
        </w:rPr>
        <w:t>规定年限内主要业绩</w:t>
      </w:r>
      <w:r>
        <w:tab/>
      </w:r>
      <w:r>
        <w:fldChar w:fldCharType="begin"/>
      </w:r>
      <w:r>
        <w:instrText xml:space="preserve"> PAGEREF _Toc20920 </w:instrText>
      </w:r>
      <w:r>
        <w:fldChar w:fldCharType="separate"/>
      </w:r>
      <w:r>
        <w:t>53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_Toc12544 </w:instrText>
      </w:r>
      <w:r>
        <w:fldChar w:fldCharType="separate"/>
      </w:r>
      <w:r>
        <w:rPr>
          <w:lang w:val="en-US"/>
        </w:rPr>
        <w:t xml:space="preserve">4.4.7 </w:t>
      </w:r>
      <w:r>
        <w:rPr>
          <w:rFonts w:hint="eastAsia"/>
          <w:lang w:val="en-US"/>
        </w:rPr>
        <w:t>资料提交</w:t>
      </w:r>
      <w:r>
        <w:tab/>
      </w:r>
      <w:r>
        <w:fldChar w:fldCharType="begin"/>
      </w:r>
      <w:r>
        <w:instrText xml:space="preserve"> PAGEREF _Toc12544 </w:instrText>
      </w:r>
      <w:r>
        <w:fldChar w:fldCharType="separate"/>
      </w:r>
      <w:r>
        <w:t>54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_Toc26699 </w:instrText>
      </w:r>
      <w:r>
        <w:fldChar w:fldCharType="separate"/>
      </w:r>
      <w:r>
        <w:t xml:space="preserve">4.4.8 </w:t>
      </w:r>
      <w:r>
        <w:rPr>
          <w:rFonts w:hint="eastAsia"/>
        </w:rPr>
        <w:t>自贸区</w:t>
      </w:r>
      <w:r>
        <w:tab/>
      </w:r>
      <w:r>
        <w:fldChar w:fldCharType="begin"/>
      </w:r>
      <w:r>
        <w:instrText xml:space="preserve"> PAGEREF _Toc26699 </w:instrText>
      </w:r>
      <w:r>
        <w:fldChar w:fldCharType="separate"/>
      </w:r>
      <w:r>
        <w:t>54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9746"/>
        </w:tabs>
      </w:pPr>
      <w:r>
        <w:fldChar w:fldCharType="begin"/>
      </w:r>
      <w:r>
        <w:instrText xml:space="preserve"> HYPERLINK \l _Toc29237 </w:instrText>
      </w:r>
      <w:r>
        <w:fldChar w:fldCharType="separate"/>
      </w:r>
      <w:r>
        <w:rPr>
          <w:lang w:val="en-US"/>
        </w:rPr>
        <w:t xml:space="preserve">4.5 </w:t>
      </w:r>
      <w:r>
        <w:rPr>
          <w:rFonts w:hint="eastAsia"/>
        </w:rPr>
        <w:t>许可证补（换）证申请</w:t>
      </w:r>
      <w:r>
        <w:tab/>
      </w:r>
      <w:r>
        <w:fldChar w:fldCharType="begin"/>
      </w:r>
      <w:r>
        <w:instrText xml:space="preserve"> PAGEREF _Toc29237 </w:instrText>
      </w:r>
      <w:r>
        <w:fldChar w:fldCharType="separate"/>
      </w:r>
      <w:r>
        <w:t>55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_Toc30599 </w:instrText>
      </w:r>
      <w:r>
        <w:fldChar w:fldCharType="separate"/>
      </w:r>
      <w:r>
        <w:t xml:space="preserve">4.5.1 </w:t>
      </w:r>
      <w:r>
        <w:rPr>
          <w:rFonts w:hint="eastAsia"/>
        </w:rPr>
        <w:t>自贸区</w:t>
      </w:r>
      <w:r>
        <w:tab/>
      </w:r>
      <w:r>
        <w:fldChar w:fldCharType="begin"/>
      </w:r>
      <w:r>
        <w:instrText xml:space="preserve"> PAGEREF _Toc30599 </w:instrText>
      </w:r>
      <w:r>
        <w:fldChar w:fldCharType="separate"/>
      </w:r>
      <w:r>
        <w:t>56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9746"/>
        </w:tabs>
      </w:pPr>
      <w:r>
        <w:fldChar w:fldCharType="begin"/>
      </w:r>
      <w:r>
        <w:instrText xml:space="preserve"> HYPERLINK \l _Toc9995 </w:instrText>
      </w:r>
      <w:r>
        <w:fldChar w:fldCharType="separate"/>
      </w:r>
      <w:r>
        <w:rPr>
          <w:lang w:val="en-US"/>
        </w:rPr>
        <w:t xml:space="preserve">4.6 </w:t>
      </w:r>
      <w:r>
        <w:rPr>
          <w:rFonts w:hint="eastAsia"/>
          <w:lang w:val="en-US"/>
        </w:rPr>
        <w:t>许可证注销</w:t>
      </w:r>
      <w:r>
        <w:tab/>
      </w:r>
      <w:r>
        <w:fldChar w:fldCharType="begin"/>
      </w:r>
      <w:r>
        <w:instrText xml:space="preserve"> PAGEREF _Toc9995 </w:instrText>
      </w:r>
      <w:r>
        <w:fldChar w:fldCharType="separate"/>
      </w:r>
      <w:r>
        <w:t>57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9746"/>
        </w:tabs>
      </w:pPr>
      <w:r>
        <w:fldChar w:fldCharType="begin"/>
      </w:r>
      <w:r>
        <w:instrText xml:space="preserve"> HYPERLINK \l _Toc8198 </w:instrText>
      </w:r>
      <w:r>
        <w:fldChar w:fldCharType="separate"/>
      </w:r>
      <w:r>
        <w:rPr>
          <w:lang w:val="en-US"/>
        </w:rPr>
        <w:t xml:space="preserve">4.7 </w:t>
      </w:r>
      <w:r>
        <w:rPr>
          <w:rFonts w:hint="eastAsia"/>
          <w:lang w:val="en-US"/>
        </w:rPr>
        <w:t>人员变更申请</w:t>
      </w:r>
      <w:r>
        <w:tab/>
      </w:r>
      <w:r>
        <w:fldChar w:fldCharType="begin"/>
      </w:r>
      <w:r>
        <w:instrText xml:space="preserve"> PAGEREF _Toc8198 </w:instrText>
      </w:r>
      <w:r>
        <w:fldChar w:fldCharType="separate"/>
      </w:r>
      <w:r>
        <w:t>58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9746"/>
        </w:tabs>
      </w:pPr>
      <w:r>
        <w:fldChar w:fldCharType="begin"/>
      </w:r>
      <w:r>
        <w:instrText xml:space="preserve"> HYPERLINK \l _Toc3252 </w:instrText>
      </w:r>
      <w:r>
        <w:fldChar w:fldCharType="separate"/>
      </w:r>
      <w:r>
        <w:rPr>
          <w:lang w:val="en-US"/>
        </w:rPr>
        <w:t xml:space="preserve">4.8 </w:t>
      </w:r>
      <w:r>
        <w:rPr>
          <w:rFonts w:hint="eastAsia"/>
          <w:lang w:val="en-US"/>
        </w:rPr>
        <w:t>业务办理终止申请</w:t>
      </w:r>
      <w:r>
        <w:tab/>
      </w:r>
      <w:r>
        <w:fldChar w:fldCharType="begin"/>
      </w:r>
      <w:r>
        <w:instrText xml:space="preserve"> PAGEREF _Toc3252 </w:instrText>
      </w:r>
      <w:r>
        <w:fldChar w:fldCharType="separate"/>
      </w:r>
      <w:r>
        <w:t>61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9746"/>
        </w:tabs>
      </w:pPr>
      <w:r>
        <w:fldChar w:fldCharType="begin"/>
      </w:r>
      <w:r>
        <w:instrText xml:space="preserve"> HYPERLINK \l _Toc13629 </w:instrText>
      </w:r>
      <w:r>
        <w:fldChar w:fldCharType="separate"/>
      </w:r>
      <w:r>
        <w:rPr>
          <w:rFonts w:hint="eastAsia"/>
        </w:rPr>
        <w:t xml:space="preserve">第5章. </w:t>
      </w:r>
      <w:r>
        <w:rPr>
          <w:rFonts w:hint="eastAsia"/>
          <w:lang w:val="en-US"/>
        </w:rPr>
        <w:t>好差评</w:t>
      </w:r>
      <w:r>
        <w:tab/>
      </w:r>
      <w:r>
        <w:fldChar w:fldCharType="begin"/>
      </w:r>
      <w:r>
        <w:instrText xml:space="preserve"> PAGEREF _Toc13629 </w:instrText>
      </w:r>
      <w:r>
        <w:fldChar w:fldCharType="separate"/>
      </w:r>
      <w:r>
        <w:t>61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9746"/>
        </w:tabs>
      </w:pPr>
      <w:r>
        <w:fldChar w:fldCharType="begin"/>
      </w:r>
      <w:r>
        <w:instrText xml:space="preserve"> HYPERLINK \l _Toc20373 </w:instrText>
      </w:r>
      <w:r>
        <w:fldChar w:fldCharType="separate"/>
      </w:r>
      <w:r>
        <w:rPr>
          <w:lang w:val="en-US"/>
        </w:rPr>
        <w:t xml:space="preserve">5.1 </w:t>
      </w:r>
      <w:r>
        <w:rPr>
          <w:rFonts w:hint="eastAsia"/>
          <w:lang w:val="en-US"/>
        </w:rPr>
        <w:t>一事一评</w:t>
      </w:r>
      <w:r>
        <w:tab/>
      </w:r>
      <w:r>
        <w:fldChar w:fldCharType="begin"/>
      </w:r>
      <w:r>
        <w:instrText xml:space="preserve"> PAGEREF _Toc20373 </w:instrText>
      </w:r>
      <w:r>
        <w:fldChar w:fldCharType="separate"/>
      </w:r>
      <w:r>
        <w:t>61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_Toc26018 </w:instrText>
      </w:r>
      <w:r>
        <w:fldChar w:fldCharType="separate"/>
      </w:r>
      <w:r>
        <w:t xml:space="preserve">5.1.1 </w:t>
      </w:r>
      <w:r>
        <w:rPr>
          <w:rFonts w:hint="eastAsia"/>
          <w:lang w:val="en-US"/>
        </w:rPr>
        <w:t>一事一评</w:t>
      </w:r>
      <w:r>
        <w:t>界面</w:t>
      </w:r>
      <w:r>
        <w:tab/>
      </w:r>
      <w:r>
        <w:fldChar w:fldCharType="begin"/>
      </w:r>
      <w:r>
        <w:instrText xml:space="preserve"> PAGEREF _Toc26018 </w:instrText>
      </w:r>
      <w:r>
        <w:fldChar w:fldCharType="separate"/>
      </w:r>
      <w:r>
        <w:t>61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_Toc20843 </w:instrText>
      </w:r>
      <w:r>
        <w:fldChar w:fldCharType="separate"/>
      </w:r>
      <w:r>
        <w:t xml:space="preserve">5.1.2 </w:t>
      </w:r>
      <w:r>
        <w:rPr>
          <w:rFonts w:hint="eastAsia"/>
          <w:lang w:val="en-US"/>
        </w:rPr>
        <w:t>好差评服务页面</w:t>
      </w:r>
      <w:r>
        <w:tab/>
      </w:r>
      <w:r>
        <w:fldChar w:fldCharType="begin"/>
      </w:r>
      <w:r>
        <w:instrText xml:space="preserve"> PAGEREF _Toc20843 </w:instrText>
      </w:r>
      <w:r>
        <w:fldChar w:fldCharType="separate"/>
      </w:r>
      <w:r>
        <w:t>62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9746"/>
        </w:tabs>
      </w:pPr>
      <w:r>
        <w:fldChar w:fldCharType="begin"/>
      </w:r>
      <w:r>
        <w:instrText xml:space="preserve"> HYPERLINK \l _Toc11441 </w:instrText>
      </w:r>
      <w:r>
        <w:fldChar w:fldCharType="separate"/>
      </w:r>
      <w:r>
        <w:rPr>
          <w:lang w:val="en-US"/>
        </w:rPr>
        <w:t xml:space="preserve">5.2 </w:t>
      </w:r>
      <w:r>
        <w:rPr>
          <w:rFonts w:hint="eastAsia"/>
          <w:lang w:val="en-US"/>
        </w:rPr>
        <w:t>扫码一次一评</w:t>
      </w:r>
      <w:r>
        <w:tab/>
      </w:r>
      <w:r>
        <w:fldChar w:fldCharType="begin"/>
      </w:r>
      <w:r>
        <w:instrText xml:space="preserve"> PAGEREF _Toc11441 </w:instrText>
      </w:r>
      <w:r>
        <w:fldChar w:fldCharType="separate"/>
      </w:r>
      <w:r>
        <w:t>63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_Toc1451 </w:instrText>
      </w:r>
      <w:r>
        <w:fldChar w:fldCharType="separate"/>
      </w:r>
      <w:r>
        <w:t xml:space="preserve">5.2.1 </w:t>
      </w:r>
      <w:r>
        <w:rPr>
          <w:rFonts w:hint="eastAsia"/>
          <w:lang w:val="en-US"/>
        </w:rPr>
        <w:t>一次一评生成二维码</w:t>
      </w:r>
      <w:r>
        <w:t>界面</w:t>
      </w:r>
      <w:r>
        <w:tab/>
      </w:r>
      <w:r>
        <w:fldChar w:fldCharType="begin"/>
      </w:r>
      <w:r>
        <w:instrText xml:space="preserve"> PAGEREF _Toc1451 </w:instrText>
      </w:r>
      <w:r>
        <w:fldChar w:fldCharType="separate"/>
      </w:r>
      <w:r>
        <w:t>63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_Toc9806 </w:instrText>
      </w:r>
      <w:r>
        <w:fldChar w:fldCharType="separate"/>
      </w:r>
      <w:r>
        <w:t xml:space="preserve">5.2.2 </w:t>
      </w:r>
      <w:r>
        <w:rPr>
          <w:rFonts w:hint="eastAsia"/>
          <w:lang w:val="en-US"/>
        </w:rPr>
        <w:t>扫码一次一评</w:t>
      </w:r>
      <w:r>
        <w:t>界面</w:t>
      </w:r>
      <w:r>
        <w:tab/>
      </w:r>
      <w:r>
        <w:fldChar w:fldCharType="begin"/>
      </w:r>
      <w:r>
        <w:instrText xml:space="preserve"> PAGEREF _Toc9806 </w:instrText>
      </w:r>
      <w:r>
        <w:fldChar w:fldCharType="separate"/>
      </w:r>
      <w:r>
        <w:t>63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9746"/>
        </w:tabs>
      </w:pPr>
      <w:r>
        <w:fldChar w:fldCharType="begin"/>
      </w:r>
      <w:r>
        <w:instrText xml:space="preserve"> HYPERLINK \l _Toc15842 </w:instrText>
      </w:r>
      <w:r>
        <w:fldChar w:fldCharType="separate"/>
      </w:r>
      <w:r>
        <w:rPr>
          <w:lang w:val="en-US"/>
        </w:rPr>
        <w:t xml:space="preserve">5.3 </w:t>
      </w:r>
      <w:r>
        <w:rPr>
          <w:rFonts w:hint="eastAsia"/>
          <w:lang w:val="en-US"/>
        </w:rPr>
        <w:t>扫码一事一评</w:t>
      </w:r>
      <w:r>
        <w:tab/>
      </w:r>
      <w:r>
        <w:fldChar w:fldCharType="begin"/>
      </w:r>
      <w:r>
        <w:instrText xml:space="preserve"> PAGEREF _Toc15842 </w:instrText>
      </w:r>
      <w:r>
        <w:fldChar w:fldCharType="separate"/>
      </w:r>
      <w:r>
        <w:t>64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_Toc22049 </w:instrText>
      </w:r>
      <w:r>
        <w:fldChar w:fldCharType="separate"/>
      </w:r>
      <w:r>
        <w:t xml:space="preserve">5.3.1 </w:t>
      </w:r>
      <w:r>
        <w:rPr>
          <w:rFonts w:hint="eastAsia"/>
          <w:lang w:val="en-US"/>
        </w:rPr>
        <w:t>一事一评生成二维码</w:t>
      </w:r>
      <w:r>
        <w:t>界面</w:t>
      </w:r>
      <w:r>
        <w:tab/>
      </w:r>
      <w:r>
        <w:fldChar w:fldCharType="begin"/>
      </w:r>
      <w:r>
        <w:instrText xml:space="preserve"> PAGEREF _Toc22049 </w:instrText>
      </w:r>
      <w:r>
        <w:fldChar w:fldCharType="separate"/>
      </w:r>
      <w:r>
        <w:t>64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_Toc20002 </w:instrText>
      </w:r>
      <w:r>
        <w:fldChar w:fldCharType="separate"/>
      </w:r>
      <w:r>
        <w:t xml:space="preserve">5.3.2 </w:t>
      </w:r>
      <w:r>
        <w:rPr>
          <w:rFonts w:hint="eastAsia"/>
          <w:lang w:val="en-US"/>
        </w:rPr>
        <w:t>扫码一事一评</w:t>
      </w:r>
      <w:r>
        <w:t>界面</w:t>
      </w:r>
      <w:r>
        <w:tab/>
      </w:r>
      <w:r>
        <w:fldChar w:fldCharType="begin"/>
      </w:r>
      <w:r>
        <w:instrText xml:space="preserve"> PAGEREF _Toc20002 </w:instrText>
      </w:r>
      <w:r>
        <w:fldChar w:fldCharType="separate"/>
      </w:r>
      <w:r>
        <w:t>65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9746"/>
        </w:tabs>
      </w:pPr>
      <w:r>
        <w:fldChar w:fldCharType="begin"/>
      </w:r>
      <w:r>
        <w:instrText xml:space="preserve"> HYPERLINK \l _Toc19160 </w:instrText>
      </w:r>
      <w:r>
        <w:fldChar w:fldCharType="separate"/>
      </w:r>
      <w:r>
        <w:rPr>
          <w:rFonts w:hint="eastAsia"/>
        </w:rPr>
        <w:t xml:space="preserve">第6章. </w:t>
      </w:r>
      <w:r>
        <w:rPr>
          <w:rFonts w:hint="eastAsia"/>
          <w:lang w:val="en-US"/>
        </w:rPr>
        <w:t>企业自查</w:t>
      </w:r>
      <w:r>
        <w:tab/>
      </w:r>
      <w:r>
        <w:fldChar w:fldCharType="begin"/>
      </w:r>
      <w:r>
        <w:instrText xml:space="preserve"> PAGEREF _Toc19160 </w:instrText>
      </w:r>
      <w:r>
        <w:fldChar w:fldCharType="separate"/>
      </w:r>
      <w:r>
        <w:t>67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9746"/>
        </w:tabs>
      </w:pPr>
      <w:r>
        <w:fldChar w:fldCharType="begin"/>
      </w:r>
      <w:r>
        <w:instrText xml:space="preserve"> HYPERLINK \l _Toc29114 </w:instrText>
      </w:r>
      <w:r>
        <w:fldChar w:fldCharType="separate"/>
      </w:r>
      <w:r>
        <w:rPr>
          <w:lang w:val="en-US"/>
        </w:rPr>
        <w:t xml:space="preserve">6.1 </w:t>
      </w:r>
      <w:r>
        <w:rPr>
          <w:rFonts w:hint="eastAsia"/>
          <w:lang w:val="en-US"/>
        </w:rPr>
        <w:t>自查</w:t>
      </w:r>
      <w:r>
        <w:tab/>
      </w:r>
      <w:r>
        <w:fldChar w:fldCharType="begin"/>
      </w:r>
      <w:r>
        <w:instrText xml:space="preserve"> PAGEREF _Toc29114 </w:instrText>
      </w:r>
      <w:r>
        <w:fldChar w:fldCharType="separate"/>
      </w:r>
      <w:r>
        <w:t>67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46"/>
        </w:tabs>
      </w:pPr>
      <w:r>
        <w:fldChar w:fldCharType="begin"/>
      </w:r>
      <w:r>
        <w:instrText xml:space="preserve"> HYPERLINK \l _Toc1142 </w:instrText>
      </w:r>
      <w:r>
        <w:fldChar w:fldCharType="separate"/>
      </w:r>
      <w:r>
        <w:t xml:space="preserve">6.1.1 </w:t>
      </w:r>
      <w:r>
        <w:rPr>
          <w:rFonts w:hint="eastAsia"/>
          <w:lang w:val="en-US"/>
        </w:rPr>
        <w:t>自查界面</w:t>
      </w:r>
      <w:r>
        <w:tab/>
      </w:r>
      <w:r>
        <w:fldChar w:fldCharType="begin"/>
      </w:r>
      <w:r>
        <w:instrText xml:space="preserve"> PAGEREF _Toc1142 </w:instrText>
      </w:r>
      <w:r>
        <w:fldChar w:fldCharType="separate"/>
      </w:r>
      <w:r>
        <w:t>67</w:t>
      </w:r>
      <w:r>
        <w:fldChar w:fldCharType="end"/>
      </w:r>
      <w:r>
        <w:fldChar w:fldCharType="end"/>
      </w:r>
    </w:p>
    <w:p>
      <w:pPr>
        <w:ind w:firstLine="480"/>
      </w:pPr>
      <w:r>
        <w:fldChar w:fldCharType="end"/>
      </w: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0" w:firstLineChars="0"/>
      </w:pPr>
    </w:p>
    <w:bookmarkEnd w:id="0"/>
    <w:p>
      <w:pPr>
        <w:pStyle w:val="2"/>
      </w:pPr>
      <w:bookmarkStart w:id="1" w:name="_Toc351996085"/>
      <w:bookmarkStart w:id="2" w:name="_Toc354565011"/>
      <w:bookmarkStart w:id="3" w:name="_Toc14414"/>
      <w:r>
        <w:rPr>
          <w:rFonts w:hint="eastAsia"/>
        </w:rPr>
        <w:t>前言</w:t>
      </w:r>
      <w:bookmarkEnd w:id="1"/>
      <w:bookmarkEnd w:id="2"/>
      <w:bookmarkEnd w:id="3"/>
    </w:p>
    <w:p>
      <w:pPr>
        <w:pStyle w:val="3"/>
      </w:pPr>
      <w:bookmarkStart w:id="4" w:name="_Toc354565012"/>
      <w:bookmarkStart w:id="5" w:name="_Toc351996086"/>
      <w:bookmarkStart w:id="6" w:name="_Toc18529"/>
      <w:r>
        <w:rPr>
          <w:rFonts w:hint="eastAsia"/>
        </w:rPr>
        <w:t>编写目的</w:t>
      </w:r>
      <w:bookmarkEnd w:id="4"/>
      <w:bookmarkEnd w:id="5"/>
      <w:bookmarkEnd w:id="6"/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本文档详细介绍了资质和信用信息系统行政许可承装（修、试）外网模块的使用说明，并针对具体应用场景的操作</w:t>
      </w:r>
      <w:r>
        <w:rPr>
          <w:rFonts w:asciiTheme="minorEastAsia" w:hAnsiTheme="minorEastAsia" w:eastAsiaTheme="minorEastAsia"/>
          <w:sz w:val="21"/>
          <w:szCs w:val="21"/>
          <w:lang w:val="zh-CN"/>
        </w:rPr>
        <w:t>方式和业务流程加以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描述，为系统使用</w:t>
      </w:r>
      <w:r>
        <w:rPr>
          <w:rFonts w:asciiTheme="minorEastAsia" w:hAnsiTheme="minorEastAsia" w:eastAsiaTheme="minorEastAsia"/>
          <w:sz w:val="21"/>
          <w:szCs w:val="21"/>
          <w:lang w:val="zh-CN"/>
        </w:rPr>
        <w:t>人员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在用</w:t>
      </w:r>
      <w:r>
        <w:rPr>
          <w:rFonts w:asciiTheme="minorEastAsia" w:hAnsiTheme="minorEastAsia" w:eastAsiaTheme="minorEastAsia"/>
          <w:sz w:val="21"/>
          <w:szCs w:val="21"/>
          <w:lang w:val="zh-CN"/>
        </w:rPr>
        <w:t>该系统进行业务办理提供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支持</w:t>
      </w:r>
      <w:r>
        <w:rPr>
          <w:rFonts w:asciiTheme="minorEastAsia" w:hAnsiTheme="minorEastAsia" w:eastAsiaTheme="minorEastAsia"/>
          <w:sz w:val="21"/>
          <w:szCs w:val="21"/>
          <w:lang w:val="zh-CN"/>
        </w:rPr>
        <w:t>。</w:t>
      </w:r>
    </w:p>
    <w:p>
      <w:pPr>
        <w:pStyle w:val="3"/>
      </w:pPr>
      <w:bookmarkStart w:id="7" w:name="_Toc354565013"/>
      <w:bookmarkStart w:id="8" w:name="_Toc351996087"/>
      <w:bookmarkStart w:id="9" w:name="_Toc12583"/>
      <w:r>
        <w:rPr>
          <w:rFonts w:hint="eastAsia"/>
        </w:rPr>
        <w:t>使用者范围</w:t>
      </w:r>
      <w:bookmarkEnd w:id="7"/>
      <w:bookmarkEnd w:id="8"/>
      <w:bookmarkEnd w:id="9"/>
    </w:p>
    <w:p>
      <w:pPr>
        <w:ind w:firstLine="480"/>
      </w:pPr>
      <w:bookmarkStart w:id="10" w:name="_Toc417652759"/>
      <w:bookmarkStart w:id="11" w:name="_Toc354565015"/>
      <w:bookmarkStart w:id="12" w:name="_Toc351996089"/>
      <w:r>
        <w:rPr>
          <w:rFonts w:hint="eastAsia"/>
        </w:rPr>
        <w:t xml:space="preserve">使用此系统的企业，审核人员  </w:t>
      </w:r>
    </w:p>
    <w:p>
      <w:pPr>
        <w:pStyle w:val="3"/>
      </w:pPr>
      <w:bookmarkStart w:id="13" w:name="_Toc6532"/>
      <w:r>
        <w:rPr>
          <w:rFonts w:hint="eastAsia"/>
        </w:rPr>
        <w:t>读者对象</w:t>
      </w:r>
      <w:bookmarkEnd w:id="10"/>
      <w:bookmarkEnd w:id="13"/>
    </w:p>
    <w:p>
      <w:pPr>
        <w:ind w:firstLine="480"/>
      </w:pPr>
      <w:r>
        <w:rPr>
          <w:rFonts w:hint="eastAsia"/>
        </w:rPr>
        <w:t>主要</w:t>
      </w:r>
      <w:r>
        <w:t>是</w:t>
      </w:r>
      <w:r>
        <w:rPr>
          <w:rFonts w:hint="eastAsia"/>
        </w:rPr>
        <w:t>针对</w:t>
      </w:r>
      <w:r>
        <w:t>使用此系统工作的</w:t>
      </w:r>
      <w:r>
        <w:rPr>
          <w:rFonts w:hint="eastAsia"/>
        </w:rPr>
        <w:t>企业</w:t>
      </w:r>
      <w:r>
        <w:t>用户</w:t>
      </w:r>
      <w:r>
        <w:rPr>
          <w:rFonts w:hint="eastAsia"/>
        </w:rPr>
        <w:t>制定</w:t>
      </w:r>
      <w:r>
        <w:t>此操作手册</w:t>
      </w:r>
      <w:r>
        <w:rPr>
          <w:rFonts w:hint="eastAsia"/>
        </w:rPr>
        <w:t>；</w:t>
      </w:r>
    </w:p>
    <w:p>
      <w:pPr>
        <w:pStyle w:val="3"/>
      </w:pPr>
      <w:bookmarkStart w:id="14" w:name="_Toc417652760"/>
      <w:bookmarkStart w:id="15" w:name="_Toc28490"/>
      <w:r>
        <w:rPr>
          <w:rFonts w:hint="eastAsia"/>
        </w:rPr>
        <w:t>环境要求</w:t>
      </w:r>
      <w:bookmarkEnd w:id="14"/>
      <w:bookmarkEnd w:id="15"/>
    </w:p>
    <w:p>
      <w:pPr>
        <w:ind w:firstLine="480"/>
      </w:pPr>
      <w:r>
        <w:rPr>
          <w:rFonts w:hint="eastAsia"/>
        </w:rPr>
        <w:t>此系统目前</w:t>
      </w:r>
      <w:r>
        <w:t>支持</w:t>
      </w:r>
      <w:r>
        <w:rPr>
          <w:rFonts w:hint="eastAsia"/>
        </w:rPr>
        <w:t>主流浏览器</w:t>
      </w:r>
    </w:p>
    <w:p>
      <w:pPr>
        <w:pStyle w:val="2"/>
      </w:pPr>
      <w:bookmarkStart w:id="16" w:name="_Toc7314"/>
      <w:r>
        <w:rPr>
          <w:rFonts w:hint="eastAsia"/>
        </w:rPr>
        <w:t>系统概述</w:t>
      </w:r>
      <w:bookmarkEnd w:id="11"/>
      <w:bookmarkEnd w:id="16"/>
    </w:p>
    <w:p>
      <w:pPr>
        <w:pStyle w:val="3"/>
      </w:pPr>
      <w:bookmarkStart w:id="17" w:name="_Toc354565016"/>
      <w:bookmarkStart w:id="18" w:name="_Toc14176"/>
      <w:r>
        <w:rPr>
          <w:rFonts w:hint="eastAsia"/>
        </w:rPr>
        <w:t>范围及应用场景说明</w:t>
      </w:r>
      <w:bookmarkEnd w:id="12"/>
      <w:bookmarkEnd w:id="17"/>
      <w:bookmarkEnd w:id="18"/>
    </w:p>
    <w:p>
      <w:pPr>
        <w:ind w:left="221" w:firstLine="480"/>
        <w:rPr>
          <w:lang w:val="zh-CN"/>
        </w:rPr>
      </w:pPr>
      <w:r>
        <w:rPr>
          <w:rFonts w:hint="eastAsia"/>
          <w:lang w:val="zh-CN"/>
        </w:rPr>
        <w:t>行政许可外网包含如下功能模块</w:t>
      </w:r>
      <w:r>
        <w:rPr>
          <w:lang w:val="zh-CN"/>
        </w:rPr>
        <w:t>：</w:t>
      </w:r>
    </w:p>
    <w:tbl>
      <w:tblPr>
        <w:tblStyle w:val="22"/>
        <w:tblW w:w="81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72"/>
        <w:gridCol w:w="5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</w:tcPr>
          <w:p>
            <w:pPr>
              <w:ind w:firstLine="482"/>
              <w:rPr>
                <w:b/>
                <w:kern w:val="0"/>
                <w:sz w:val="21"/>
                <w:szCs w:val="21"/>
              </w:rPr>
            </w:pPr>
            <w:r>
              <w:rPr>
                <w:rFonts w:hint="eastAsia"/>
                <w:b/>
              </w:rPr>
              <w:t>功能模块</w:t>
            </w:r>
            <w:r>
              <w:rPr>
                <w:b/>
              </w:rPr>
              <w:t xml:space="preserve"> </w:t>
            </w:r>
          </w:p>
        </w:tc>
        <w:tc>
          <w:tcPr>
            <w:tcW w:w="58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</w:tcPr>
          <w:p>
            <w:pPr>
              <w:ind w:firstLine="482"/>
              <w:rPr>
                <w:b/>
              </w:rPr>
            </w:pPr>
            <w:r>
              <w:rPr>
                <w:rFonts w:hint="eastAsia"/>
                <w:b/>
              </w:rPr>
              <w:t>应用场景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" w:hRule="atLeast"/>
          <w:jc w:val="center"/>
        </w:trPr>
        <w:tc>
          <w:tcPr>
            <w:tcW w:w="227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before="60" w:after="60"/>
              <w:ind w:firstLine="480"/>
            </w:pPr>
            <w:r>
              <w:rPr>
                <w:rFonts w:hint="eastAsia"/>
              </w:rPr>
              <w:t>用户</w:t>
            </w:r>
            <w:r>
              <w:t>注册</w:t>
            </w:r>
          </w:p>
        </w:tc>
        <w:tc>
          <w:tcPr>
            <w:tcW w:w="58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60" w:after="60"/>
              <w:ind w:firstLine="480"/>
            </w:pPr>
            <w:r>
              <w:rPr>
                <w:rFonts w:hint="eastAsia"/>
              </w:rPr>
              <w:t>企业注册</w:t>
            </w:r>
            <w:r>
              <w:t>3.1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" w:hRule="atLeast"/>
          <w:jc w:val="center"/>
        </w:trPr>
        <w:tc>
          <w:tcPr>
            <w:tcW w:w="22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60" w:after="60"/>
              <w:ind w:firstLine="480"/>
            </w:pPr>
            <w:r>
              <w:rPr>
                <w:rFonts w:hint="eastAsia"/>
              </w:rPr>
              <w:t>企业信息维护</w:t>
            </w:r>
          </w:p>
        </w:tc>
        <w:tc>
          <w:tcPr>
            <w:tcW w:w="58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60" w:after="60"/>
              <w:ind w:firstLine="480"/>
            </w:pPr>
            <w:r>
              <w:rPr>
                <w:rFonts w:hint="eastAsia"/>
              </w:rPr>
              <w:t>企业信息修改3.2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" w:hRule="atLeast"/>
          <w:jc w:val="center"/>
        </w:trPr>
        <w:tc>
          <w:tcPr>
            <w:tcW w:w="227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ind w:firstLine="420"/>
              <w:rPr>
                <w:rFonts w:cs="宋体"/>
                <w:sz w:val="21"/>
                <w:szCs w:val="21"/>
              </w:rPr>
            </w:pPr>
            <w:r>
              <w:rPr>
                <w:rFonts w:hint="eastAsia" w:cs="宋体"/>
                <w:sz w:val="21"/>
                <w:szCs w:val="21"/>
              </w:rPr>
              <w:t>承装修试企业</w:t>
            </w:r>
          </w:p>
        </w:tc>
        <w:tc>
          <w:tcPr>
            <w:tcW w:w="58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60" w:after="60"/>
              <w:ind w:firstLine="480"/>
            </w:pPr>
            <w:r>
              <w:rPr>
                <w:rFonts w:hint="eastAsia"/>
              </w:rPr>
              <w:t>许可证新申请4.1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" w:hRule="atLeast"/>
          <w:jc w:val="center"/>
        </w:trPr>
        <w:tc>
          <w:tcPr>
            <w:tcW w:w="227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480"/>
            </w:pPr>
          </w:p>
        </w:tc>
        <w:tc>
          <w:tcPr>
            <w:tcW w:w="58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60" w:after="60"/>
              <w:ind w:firstLine="480"/>
            </w:pPr>
            <w:r>
              <w:rPr>
                <w:rFonts w:hint="eastAsia"/>
              </w:rPr>
              <w:t>登记事项变更4.2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" w:hRule="atLeast"/>
          <w:jc w:val="center"/>
        </w:trPr>
        <w:tc>
          <w:tcPr>
            <w:tcW w:w="227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480"/>
            </w:pPr>
          </w:p>
        </w:tc>
        <w:tc>
          <w:tcPr>
            <w:tcW w:w="58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60" w:after="60"/>
              <w:ind w:firstLine="480"/>
            </w:pPr>
            <w:r>
              <w:rPr>
                <w:rFonts w:hint="eastAsia"/>
              </w:rPr>
              <w:t>许可事项变更4.3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" w:hRule="atLeast"/>
          <w:jc w:val="center"/>
        </w:trPr>
        <w:tc>
          <w:tcPr>
            <w:tcW w:w="227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480"/>
            </w:pPr>
          </w:p>
        </w:tc>
        <w:tc>
          <w:tcPr>
            <w:tcW w:w="58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60" w:after="60"/>
              <w:ind w:firstLine="480"/>
            </w:pPr>
            <w:r>
              <w:rPr>
                <w:rFonts w:hint="eastAsia"/>
              </w:rPr>
              <w:t>许可证延续4.4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" w:hRule="atLeast"/>
          <w:jc w:val="center"/>
        </w:trPr>
        <w:tc>
          <w:tcPr>
            <w:tcW w:w="227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480"/>
            </w:pPr>
          </w:p>
        </w:tc>
        <w:tc>
          <w:tcPr>
            <w:tcW w:w="58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60" w:after="60"/>
              <w:ind w:firstLine="480"/>
            </w:pPr>
            <w:r>
              <w:rPr>
                <w:rFonts w:hint="eastAsia"/>
              </w:rPr>
              <w:t>许可证补换证申请4.5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" w:hRule="atLeast"/>
          <w:jc w:val="center"/>
        </w:trPr>
        <w:tc>
          <w:tcPr>
            <w:tcW w:w="227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480"/>
            </w:pPr>
          </w:p>
        </w:tc>
        <w:tc>
          <w:tcPr>
            <w:tcW w:w="58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60" w:after="60"/>
              <w:ind w:firstLine="480"/>
            </w:pPr>
            <w:r>
              <w:rPr>
                <w:rFonts w:hint="eastAsia"/>
              </w:rPr>
              <w:t>许可证注销4.6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" w:hRule="atLeast"/>
          <w:jc w:val="center"/>
        </w:trPr>
        <w:tc>
          <w:tcPr>
            <w:tcW w:w="227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480"/>
            </w:pPr>
          </w:p>
        </w:tc>
        <w:tc>
          <w:tcPr>
            <w:tcW w:w="58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60" w:after="60"/>
              <w:ind w:firstLine="480"/>
            </w:pPr>
            <w:r>
              <w:rPr>
                <w:rFonts w:hint="eastAsia"/>
              </w:rPr>
              <w:t>人员变更申请4.7</w:t>
            </w:r>
          </w:p>
        </w:tc>
      </w:tr>
    </w:tbl>
    <w:p>
      <w:pPr>
        <w:pStyle w:val="11"/>
        <w:spacing w:line="360" w:lineRule="auto"/>
      </w:pPr>
      <w:r>
        <w:rPr>
          <w:rFonts w:hint="eastAsia"/>
        </w:rPr>
        <w:t xml:space="preserve">表 </w:t>
      </w:r>
      <w:r>
        <w:t>2</w:t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1</w:instrText>
      </w:r>
      <w:r>
        <w:instrText xml:space="preserve">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>功能列表</w:t>
      </w:r>
    </w:p>
    <w:p>
      <w:pPr>
        <w:pStyle w:val="2"/>
      </w:pPr>
      <w:bookmarkStart w:id="19" w:name="_Toc13237"/>
      <w:r>
        <w:rPr>
          <w:rFonts w:hint="eastAsia"/>
        </w:rPr>
        <w:t>用户注册</w:t>
      </w:r>
      <w:bookmarkEnd w:id="19"/>
    </w:p>
    <w:p>
      <w:pPr>
        <w:pStyle w:val="3"/>
      </w:pPr>
      <w:bookmarkStart w:id="20" w:name="_Toc31336"/>
      <w:bookmarkStart w:id="21" w:name="_Toc354565028"/>
      <w:r>
        <w:rPr>
          <w:rFonts w:hint="eastAsia"/>
        </w:rPr>
        <w:t>企业注册</w:t>
      </w:r>
      <w:bookmarkEnd w:id="20"/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企业用户</w:t>
      </w:r>
      <w:r>
        <w:rPr>
          <w:rFonts w:ascii="宋体" w:hAnsi="宋体"/>
          <w:sz w:val="21"/>
          <w:szCs w:val="21"/>
        </w:rPr>
        <w:t>连接到</w:t>
      </w:r>
      <w:r>
        <w:rPr>
          <w:rFonts w:hint="eastAsia" w:ascii="宋体" w:hAnsi="宋体"/>
          <w:sz w:val="21"/>
          <w:szCs w:val="21"/>
        </w:rPr>
        <w:t>资质和信用信息系统外网</w:t>
      </w:r>
      <w:r>
        <w:rPr>
          <w:rFonts w:ascii="宋体" w:hAnsi="宋体"/>
          <w:sz w:val="21"/>
          <w:szCs w:val="21"/>
        </w:rPr>
        <w:t>填报登录页面</w:t>
      </w:r>
      <w:r>
        <w:rPr>
          <w:rFonts w:hint="eastAsia" w:ascii="宋体" w:hAnsi="宋体"/>
          <w:sz w:val="21"/>
          <w:szCs w:val="21"/>
        </w:rPr>
        <w:t>，点击 “</w:t>
      </w:r>
      <w:r>
        <w:rPr>
          <w:rFonts w:hint="eastAsia" w:ascii="宋体" w:hAnsi="宋体"/>
          <w:b/>
          <w:sz w:val="21"/>
          <w:szCs w:val="21"/>
        </w:rPr>
        <w:t>企业注册</w:t>
      </w:r>
      <w:r>
        <w:rPr>
          <w:rFonts w:hint="eastAsia" w:ascii="宋体" w:hAnsi="宋体"/>
          <w:sz w:val="21"/>
          <w:szCs w:val="21"/>
        </w:rPr>
        <w:t>”图表，进入企业注册页面如</w:t>
      </w:r>
      <w:r>
        <w:rPr>
          <w:rFonts w:ascii="宋体" w:hAnsi="宋体"/>
          <w:sz w:val="21"/>
          <w:szCs w:val="21"/>
        </w:rPr>
        <w:t>下：</w:t>
      </w:r>
    </w:p>
    <w:p>
      <w:pPr>
        <w:ind w:firstLine="0" w:firstLineChars="0"/>
        <w:contextualSpacing w:val="0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6184265" cy="3328670"/>
            <wp:effectExtent l="0" t="0" r="3175" b="8890"/>
            <wp:docPr id="1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contextualSpacing w:val="0"/>
      </w:pPr>
      <w:r>
        <w:rPr>
          <w:rFonts w:hint="eastAsia"/>
        </w:rPr>
        <w:t>点注册，出现如下：</w:t>
      </w:r>
    </w:p>
    <w:p>
      <w:pPr>
        <w:ind w:firstLine="0" w:firstLineChars="0"/>
        <w:contextualSpacing w:val="0"/>
      </w:pPr>
      <w:r>
        <w:drawing>
          <wp:inline distT="0" distB="0" distL="114300" distR="114300">
            <wp:extent cx="6184265" cy="3766820"/>
            <wp:effectExtent l="0" t="0" r="6985" b="508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contextualSpacing w:val="0"/>
      </w:pPr>
      <w:r>
        <w:drawing>
          <wp:inline distT="0" distB="0" distL="114300" distR="114300">
            <wp:extent cx="6180455" cy="1227455"/>
            <wp:effectExtent l="0" t="0" r="10795" b="1079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2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【注册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填写完</w:t>
      </w:r>
      <w:r>
        <w:rPr>
          <w:rFonts w:ascii="宋体" w:hAnsi="宋体"/>
          <w:sz w:val="21"/>
          <w:szCs w:val="21"/>
        </w:rPr>
        <w:t>所有信息</w:t>
      </w:r>
      <w:r>
        <w:rPr>
          <w:rFonts w:hint="eastAsia" w:ascii="宋体" w:hAnsi="宋体"/>
          <w:sz w:val="21"/>
          <w:szCs w:val="21"/>
        </w:rPr>
        <w:t>后</w:t>
      </w:r>
      <w:r>
        <w:rPr>
          <w:rFonts w:ascii="宋体" w:hAnsi="宋体"/>
          <w:sz w:val="21"/>
          <w:szCs w:val="21"/>
        </w:rPr>
        <w:t>完成注册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【取消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放弃</w:t>
      </w:r>
      <w:r>
        <w:rPr>
          <w:rFonts w:ascii="宋体" w:hAnsi="宋体"/>
          <w:sz w:val="21"/>
          <w:szCs w:val="21"/>
        </w:rPr>
        <w:t>注册操作，返回到</w:t>
      </w:r>
      <w:r>
        <w:rPr>
          <w:rFonts w:hint="eastAsia" w:ascii="宋体" w:hAnsi="宋体"/>
          <w:sz w:val="21"/>
          <w:szCs w:val="21"/>
        </w:rPr>
        <w:t>资质和信用信息系统外网</w:t>
      </w:r>
      <w:r>
        <w:rPr>
          <w:rFonts w:ascii="宋体" w:hAnsi="宋体"/>
          <w:sz w:val="21"/>
          <w:szCs w:val="21"/>
        </w:rPr>
        <w:t>填报登录页面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【选择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在弹出</w:t>
      </w:r>
      <w:r>
        <w:rPr>
          <w:rFonts w:ascii="宋体" w:hAnsi="宋体"/>
          <w:sz w:val="21"/>
          <w:szCs w:val="21"/>
        </w:rPr>
        <w:t>页面选择上级企业进行关联</w:t>
      </w:r>
    </w:p>
    <w:p>
      <w:pPr>
        <w:pStyle w:val="37"/>
        <w:numPr>
          <w:ilvl w:val="0"/>
          <w:numId w:val="2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tabs>
          <w:tab w:val="left" w:pos="3270"/>
        </w:tabs>
        <w:ind w:firstLine="1470" w:firstLineChars="70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  <w:r>
        <w:rPr>
          <w:rFonts w:ascii="宋体" w:hAnsi="宋体"/>
          <w:sz w:val="21"/>
          <w:szCs w:val="21"/>
        </w:rPr>
        <w:tab/>
      </w:r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【选择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弹出页面如</w:t>
      </w:r>
      <w:r>
        <w:rPr>
          <w:rFonts w:ascii="宋体" w:hAnsi="宋体"/>
          <w:sz w:val="21"/>
          <w:szCs w:val="21"/>
        </w:rPr>
        <w:t>下图：</w:t>
      </w:r>
    </w:p>
    <w:p>
      <w:pPr>
        <w:ind w:firstLine="0" w:firstLineChars="0"/>
        <w:contextualSpacing w:val="0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6182360" cy="4017645"/>
            <wp:effectExtent l="0" t="0" r="8890" b="190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4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【确定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选择机构，当前</w:t>
      </w:r>
      <w:r>
        <w:rPr>
          <w:rFonts w:ascii="宋体" w:hAnsi="宋体"/>
          <w:sz w:val="21"/>
          <w:szCs w:val="21"/>
        </w:rPr>
        <w:t>页面关闭</w:t>
      </w:r>
      <w:r>
        <w:rPr>
          <w:rFonts w:hint="eastAsia" w:ascii="宋体" w:hAnsi="宋体"/>
          <w:sz w:val="21"/>
          <w:szCs w:val="21"/>
        </w:rPr>
        <w:t>并</w:t>
      </w:r>
      <w:r>
        <w:rPr>
          <w:rFonts w:ascii="宋体" w:hAnsi="宋体"/>
          <w:sz w:val="21"/>
          <w:szCs w:val="21"/>
        </w:rPr>
        <w:t>将</w:t>
      </w:r>
      <w:r>
        <w:rPr>
          <w:rFonts w:hint="eastAsia" w:ascii="宋体" w:hAnsi="宋体"/>
          <w:sz w:val="21"/>
          <w:szCs w:val="21"/>
        </w:rPr>
        <w:t>机构</w:t>
      </w:r>
      <w:r>
        <w:rPr>
          <w:rFonts w:ascii="宋体" w:hAnsi="宋体"/>
          <w:sz w:val="21"/>
          <w:szCs w:val="21"/>
        </w:rPr>
        <w:t>信息带回到</w:t>
      </w:r>
      <w:r>
        <w:rPr>
          <w:rFonts w:hint="eastAsia" w:ascii="宋体" w:hAnsi="宋体"/>
          <w:sz w:val="21"/>
          <w:szCs w:val="21"/>
        </w:rPr>
        <w:t>企业注册</w:t>
      </w:r>
      <w:r>
        <w:rPr>
          <w:rFonts w:ascii="宋体" w:hAnsi="宋体"/>
          <w:sz w:val="21"/>
          <w:szCs w:val="21"/>
        </w:rPr>
        <w:t>界面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【取消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放弃当前</w:t>
      </w:r>
      <w:r>
        <w:rPr>
          <w:rFonts w:ascii="宋体" w:hAnsi="宋体"/>
          <w:sz w:val="21"/>
          <w:szCs w:val="21"/>
        </w:rPr>
        <w:t>操作，</w:t>
      </w:r>
      <w:r>
        <w:rPr>
          <w:rFonts w:hint="eastAsia" w:ascii="宋体" w:hAnsi="宋体"/>
          <w:sz w:val="21"/>
          <w:szCs w:val="21"/>
        </w:rPr>
        <w:t>页面关闭</w:t>
      </w:r>
      <w:r>
        <w:rPr>
          <w:rFonts w:ascii="宋体" w:hAnsi="宋体"/>
          <w:sz w:val="21"/>
          <w:szCs w:val="21"/>
        </w:rPr>
        <w:t>，返回</w:t>
      </w:r>
      <w:r>
        <w:rPr>
          <w:rFonts w:hint="eastAsia" w:ascii="宋体" w:hAnsi="宋体"/>
          <w:sz w:val="21"/>
          <w:szCs w:val="21"/>
        </w:rPr>
        <w:t>到</w:t>
      </w:r>
      <w:r>
        <w:rPr>
          <w:rFonts w:ascii="宋体" w:hAnsi="宋体"/>
          <w:sz w:val="21"/>
          <w:szCs w:val="21"/>
        </w:rPr>
        <w:t>企业注册界面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【查询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输入机构</w:t>
      </w:r>
      <w:r>
        <w:rPr>
          <w:rFonts w:ascii="宋体" w:hAnsi="宋体"/>
          <w:sz w:val="21"/>
          <w:szCs w:val="21"/>
        </w:rPr>
        <w:t>名称，模糊查询</w:t>
      </w:r>
      <w:r>
        <w:rPr>
          <w:rFonts w:hint="eastAsia" w:ascii="宋体" w:hAnsi="宋体"/>
          <w:sz w:val="21"/>
          <w:szCs w:val="21"/>
        </w:rPr>
        <w:t>机构</w:t>
      </w:r>
      <w:r>
        <w:rPr>
          <w:rFonts w:ascii="宋体" w:hAnsi="宋体"/>
          <w:sz w:val="21"/>
          <w:szCs w:val="21"/>
        </w:rPr>
        <w:t>信息</w:t>
      </w:r>
    </w:p>
    <w:p>
      <w:pPr>
        <w:pStyle w:val="37"/>
        <w:numPr>
          <w:ilvl w:val="0"/>
          <w:numId w:val="4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ind w:firstLine="1470" w:firstLineChars="70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3"/>
      </w:pPr>
      <w:bookmarkStart w:id="22" w:name="_Toc19821"/>
      <w:r>
        <w:rPr>
          <w:rFonts w:hint="eastAsia"/>
        </w:rPr>
        <w:t>企业登录</w:t>
      </w:r>
      <w:r>
        <w:t>界面</w:t>
      </w:r>
      <w:bookmarkEnd w:id="22"/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企业用户</w:t>
      </w:r>
      <w:r>
        <w:rPr>
          <w:rFonts w:ascii="宋体" w:hAnsi="宋体"/>
          <w:sz w:val="21"/>
          <w:szCs w:val="21"/>
        </w:rPr>
        <w:t>连接到</w:t>
      </w:r>
      <w:r>
        <w:rPr>
          <w:rFonts w:hint="eastAsia" w:ascii="宋体" w:hAnsi="宋体"/>
          <w:sz w:val="21"/>
          <w:szCs w:val="21"/>
        </w:rPr>
        <w:t>资质和信用外网</w:t>
      </w:r>
      <w:r>
        <w:rPr>
          <w:rFonts w:ascii="宋体" w:hAnsi="宋体"/>
          <w:sz w:val="21"/>
          <w:szCs w:val="21"/>
        </w:rPr>
        <w:t>填报登录页面</w:t>
      </w:r>
    </w:p>
    <w:p>
      <w:pPr>
        <w:ind w:firstLine="0" w:firstLineChars="0"/>
        <w:contextualSpacing w:val="0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6184265" cy="3731895"/>
            <wp:effectExtent l="0" t="0" r="635" b="1905"/>
            <wp:docPr id="1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5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【登录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输入用户</w:t>
      </w:r>
      <w:r>
        <w:rPr>
          <w:rFonts w:ascii="宋体" w:hAnsi="宋体"/>
          <w:sz w:val="21"/>
          <w:szCs w:val="21"/>
        </w:rPr>
        <w:t>信息</w:t>
      </w:r>
      <w:r>
        <w:rPr>
          <w:rFonts w:hint="eastAsia" w:ascii="宋体" w:hAnsi="宋体"/>
          <w:sz w:val="21"/>
          <w:szCs w:val="21"/>
        </w:rPr>
        <w:t>，登录到资质和信用信息系统外网</w:t>
      </w:r>
      <w:r>
        <w:rPr>
          <w:rFonts w:ascii="宋体" w:hAnsi="宋体"/>
          <w:sz w:val="21"/>
          <w:szCs w:val="21"/>
        </w:rPr>
        <w:t>填报</w:t>
      </w:r>
      <w:r>
        <w:rPr>
          <w:rFonts w:hint="eastAsia" w:ascii="宋体" w:hAnsi="宋体"/>
          <w:sz w:val="21"/>
          <w:szCs w:val="21"/>
        </w:rPr>
        <w:t>首页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【忘记密码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点击忘记密码，进入找回密码的页面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【企业注册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进入企业</w:t>
      </w:r>
      <w:r>
        <w:rPr>
          <w:rFonts w:ascii="宋体" w:hAnsi="宋体"/>
          <w:sz w:val="21"/>
          <w:szCs w:val="21"/>
        </w:rPr>
        <w:t>注册页面</w:t>
      </w:r>
    </w:p>
    <w:p>
      <w:pPr>
        <w:pStyle w:val="37"/>
        <w:numPr>
          <w:ilvl w:val="0"/>
          <w:numId w:val="5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ind w:firstLine="1680" w:firstLineChars="80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4"/>
      </w:pPr>
      <w:bookmarkStart w:id="23" w:name="_Toc4211"/>
      <w:r>
        <w:rPr>
          <w:rFonts w:hint="eastAsia"/>
        </w:rPr>
        <w:t>企业</w:t>
      </w:r>
      <w:r>
        <w:t>信息修改</w:t>
      </w:r>
      <w:bookmarkEnd w:id="23"/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企业用户登录</w:t>
      </w:r>
      <w:r>
        <w:rPr>
          <w:rFonts w:ascii="宋体" w:hAnsi="宋体"/>
          <w:sz w:val="21"/>
          <w:szCs w:val="21"/>
        </w:rPr>
        <w:t>到</w:t>
      </w:r>
      <w:r>
        <w:rPr>
          <w:rFonts w:hint="eastAsia" w:ascii="宋体" w:hAnsi="宋体"/>
          <w:sz w:val="21"/>
          <w:szCs w:val="21"/>
        </w:rPr>
        <w:t>资质和信用信息系统外网</w:t>
      </w:r>
      <w:r>
        <w:rPr>
          <w:rFonts w:ascii="宋体" w:hAnsi="宋体"/>
          <w:sz w:val="21"/>
          <w:szCs w:val="21"/>
        </w:rPr>
        <w:t>填报</w:t>
      </w:r>
      <w:r>
        <w:rPr>
          <w:rFonts w:hint="eastAsia" w:ascii="宋体" w:hAnsi="宋体"/>
          <w:sz w:val="21"/>
          <w:szCs w:val="21"/>
        </w:rPr>
        <w:t>系统，用户</w:t>
      </w:r>
      <w:r>
        <w:rPr>
          <w:rFonts w:ascii="宋体" w:hAnsi="宋体"/>
          <w:sz w:val="21"/>
          <w:szCs w:val="21"/>
        </w:rPr>
        <w:t>点击“</w:t>
      </w:r>
      <w:r>
        <w:rPr>
          <w:rFonts w:hint="eastAsia" w:ascii="宋体" w:hAnsi="宋体"/>
          <w:b/>
          <w:sz w:val="21"/>
          <w:szCs w:val="21"/>
        </w:rPr>
        <w:t>我的信息</w:t>
      </w:r>
      <w:r>
        <w:rPr>
          <w:rFonts w:ascii="宋体" w:hAnsi="宋体"/>
          <w:sz w:val="21"/>
          <w:szCs w:val="21"/>
        </w:rPr>
        <w:t>”-“</w:t>
      </w:r>
      <w:r>
        <w:rPr>
          <w:rFonts w:hint="eastAsia" w:ascii="宋体" w:hAnsi="宋体"/>
          <w:b/>
          <w:sz w:val="21"/>
          <w:szCs w:val="21"/>
        </w:rPr>
        <w:t>企业</w:t>
      </w:r>
      <w:r>
        <w:rPr>
          <w:rFonts w:ascii="宋体" w:hAnsi="宋体"/>
          <w:b/>
          <w:sz w:val="21"/>
          <w:szCs w:val="21"/>
        </w:rPr>
        <w:t>信息修改</w:t>
      </w:r>
      <w:r>
        <w:rPr>
          <w:rFonts w:ascii="宋体" w:hAnsi="宋体"/>
          <w:sz w:val="21"/>
          <w:szCs w:val="21"/>
        </w:rPr>
        <w:t>”，</w:t>
      </w:r>
      <w:r>
        <w:rPr>
          <w:rFonts w:hint="eastAsia" w:ascii="宋体" w:hAnsi="宋体"/>
          <w:sz w:val="21"/>
          <w:szCs w:val="21"/>
        </w:rPr>
        <w:t>进入</w:t>
      </w:r>
      <w:r>
        <w:rPr>
          <w:rFonts w:ascii="宋体" w:hAnsi="宋体"/>
          <w:sz w:val="21"/>
          <w:szCs w:val="21"/>
        </w:rPr>
        <w:t>企业信息修改页面</w:t>
      </w:r>
      <w:r>
        <w:rPr>
          <w:rFonts w:hint="eastAsia" w:ascii="宋体" w:hAnsi="宋体"/>
          <w:sz w:val="21"/>
          <w:szCs w:val="21"/>
        </w:rPr>
        <w:t>如</w:t>
      </w:r>
      <w:r>
        <w:rPr>
          <w:rFonts w:ascii="宋体" w:hAnsi="宋体"/>
          <w:sz w:val="21"/>
          <w:szCs w:val="21"/>
        </w:rPr>
        <w:t>下：</w:t>
      </w:r>
    </w:p>
    <w:p>
      <w:pPr>
        <w:pStyle w:val="11"/>
        <w:spacing w:line="360" w:lineRule="auto"/>
        <w:jc w:val="both"/>
      </w:pPr>
    </w:p>
    <w:p>
      <w:pPr>
        <w:ind w:firstLine="0" w:firstLineChars="0"/>
        <w:jc w:val="center"/>
      </w:pPr>
      <w:r>
        <w:drawing>
          <wp:inline distT="0" distB="0" distL="114300" distR="114300">
            <wp:extent cx="4591050" cy="4067175"/>
            <wp:effectExtent l="0" t="0" r="0" b="952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6186805" cy="3590925"/>
            <wp:effectExtent l="0" t="0" r="4445" b="952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6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【保存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保存当前</w:t>
      </w:r>
      <w:r>
        <w:rPr>
          <w:rFonts w:ascii="宋体" w:hAnsi="宋体"/>
          <w:sz w:val="21"/>
          <w:szCs w:val="21"/>
        </w:rPr>
        <w:t>页面</w:t>
      </w:r>
      <w:r>
        <w:rPr>
          <w:rFonts w:hint="eastAsia" w:ascii="宋体" w:hAnsi="宋体"/>
          <w:sz w:val="21"/>
          <w:szCs w:val="21"/>
        </w:rPr>
        <w:t>所</w:t>
      </w:r>
      <w:r>
        <w:rPr>
          <w:rFonts w:ascii="宋体" w:hAnsi="宋体"/>
          <w:sz w:val="21"/>
          <w:szCs w:val="21"/>
        </w:rPr>
        <w:t>输入的企业</w:t>
      </w:r>
      <w:r>
        <w:rPr>
          <w:rFonts w:hint="eastAsia" w:ascii="宋体" w:hAnsi="宋体"/>
          <w:sz w:val="21"/>
          <w:szCs w:val="21"/>
        </w:rPr>
        <w:t>信息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【选择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在弹出</w:t>
      </w:r>
      <w:r>
        <w:rPr>
          <w:rFonts w:ascii="宋体" w:hAnsi="宋体"/>
          <w:sz w:val="21"/>
          <w:szCs w:val="21"/>
        </w:rPr>
        <w:t>页面选择上级企业进行关联</w:t>
      </w:r>
    </w:p>
    <w:p>
      <w:pPr>
        <w:pStyle w:val="37"/>
        <w:numPr>
          <w:ilvl w:val="0"/>
          <w:numId w:val="6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企业</w:t>
      </w:r>
      <w:r>
        <w:rPr>
          <w:rFonts w:ascii="宋体" w:hAnsi="宋体"/>
          <w:sz w:val="21"/>
          <w:szCs w:val="21"/>
        </w:rPr>
        <w:t>类型、</w:t>
      </w:r>
      <w:r>
        <w:rPr>
          <w:rFonts w:hint="eastAsia" w:ascii="宋体" w:hAnsi="宋体"/>
          <w:sz w:val="21"/>
          <w:szCs w:val="21"/>
        </w:rPr>
        <w:t>法人名称、</w:t>
      </w:r>
      <w:r>
        <w:rPr>
          <w:rFonts w:ascii="宋体" w:hAnsi="宋体"/>
          <w:sz w:val="21"/>
          <w:szCs w:val="21"/>
        </w:rPr>
        <w:t>法人代表人</w:t>
      </w:r>
      <w:r>
        <w:rPr>
          <w:rFonts w:hint="eastAsia" w:ascii="宋体" w:hAnsi="宋体"/>
          <w:sz w:val="21"/>
          <w:szCs w:val="21"/>
        </w:rPr>
        <w:t>名称、企业营业执照地址（营业场所）不</w:t>
      </w:r>
      <w:r>
        <w:rPr>
          <w:rFonts w:ascii="宋体" w:hAnsi="宋体"/>
          <w:sz w:val="21"/>
          <w:szCs w:val="21"/>
        </w:rPr>
        <w:t>可</w:t>
      </w:r>
      <w:r>
        <w:rPr>
          <w:rFonts w:hint="eastAsia" w:ascii="宋体" w:hAnsi="宋体"/>
          <w:sz w:val="21"/>
          <w:szCs w:val="21"/>
        </w:rPr>
        <w:t>在</w:t>
      </w:r>
      <w:r>
        <w:rPr>
          <w:rFonts w:ascii="宋体" w:hAnsi="宋体"/>
          <w:sz w:val="21"/>
          <w:szCs w:val="21"/>
        </w:rPr>
        <w:t>企业信息修改</w:t>
      </w:r>
      <w:r>
        <w:rPr>
          <w:rFonts w:hint="eastAsia" w:ascii="宋体" w:hAnsi="宋体"/>
          <w:sz w:val="21"/>
          <w:szCs w:val="21"/>
        </w:rPr>
        <w:t>功能</w:t>
      </w:r>
      <w:r>
        <w:rPr>
          <w:rFonts w:ascii="宋体" w:hAnsi="宋体"/>
          <w:sz w:val="21"/>
          <w:szCs w:val="21"/>
        </w:rPr>
        <w:t>中修改。</w:t>
      </w:r>
      <w:r>
        <w:rPr>
          <w:rFonts w:hint="eastAsia" w:ascii="宋体" w:hAnsi="宋体"/>
          <w:sz w:val="21"/>
          <w:szCs w:val="21"/>
        </w:rPr>
        <w:t>如要</w:t>
      </w:r>
      <w:r>
        <w:rPr>
          <w:rFonts w:ascii="宋体" w:hAnsi="宋体"/>
          <w:sz w:val="21"/>
          <w:szCs w:val="21"/>
        </w:rPr>
        <w:t>修改</w:t>
      </w:r>
      <w:r>
        <w:rPr>
          <w:rFonts w:hint="eastAsia" w:ascii="宋体" w:hAnsi="宋体"/>
          <w:sz w:val="21"/>
          <w:szCs w:val="21"/>
        </w:rPr>
        <w:t>需要</w:t>
      </w:r>
      <w:r>
        <w:rPr>
          <w:rFonts w:ascii="宋体" w:hAnsi="宋体"/>
          <w:sz w:val="21"/>
          <w:szCs w:val="21"/>
        </w:rPr>
        <w:t>进行</w:t>
      </w:r>
      <w:r>
        <w:rPr>
          <w:rFonts w:hint="eastAsia" w:ascii="宋体" w:hAnsi="宋体"/>
          <w:sz w:val="21"/>
          <w:szCs w:val="21"/>
        </w:rPr>
        <w:t>“登记事项变更”流程。</w:t>
      </w:r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【选择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弹出页面如</w:t>
      </w:r>
      <w:r>
        <w:rPr>
          <w:rFonts w:ascii="宋体" w:hAnsi="宋体"/>
          <w:sz w:val="21"/>
          <w:szCs w:val="21"/>
        </w:rPr>
        <w:t>下图：</w:t>
      </w:r>
    </w:p>
    <w:p>
      <w:pPr>
        <w:ind w:firstLine="0" w:firstLineChars="0"/>
        <w:contextualSpacing w:val="0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6182995" cy="4589145"/>
            <wp:effectExtent l="0" t="0" r="8255" b="190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7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【确定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选择机构，当前</w:t>
      </w:r>
      <w:r>
        <w:rPr>
          <w:rFonts w:ascii="宋体" w:hAnsi="宋体"/>
          <w:sz w:val="21"/>
          <w:szCs w:val="21"/>
        </w:rPr>
        <w:t>页面关闭</w:t>
      </w:r>
      <w:r>
        <w:rPr>
          <w:rFonts w:hint="eastAsia" w:ascii="宋体" w:hAnsi="宋体"/>
          <w:sz w:val="21"/>
          <w:szCs w:val="21"/>
        </w:rPr>
        <w:t>并</w:t>
      </w:r>
      <w:r>
        <w:rPr>
          <w:rFonts w:ascii="宋体" w:hAnsi="宋体"/>
          <w:sz w:val="21"/>
          <w:szCs w:val="21"/>
        </w:rPr>
        <w:t>将</w:t>
      </w:r>
      <w:r>
        <w:rPr>
          <w:rFonts w:hint="eastAsia" w:ascii="宋体" w:hAnsi="宋体"/>
          <w:sz w:val="21"/>
          <w:szCs w:val="21"/>
        </w:rPr>
        <w:t>机构</w:t>
      </w:r>
      <w:r>
        <w:rPr>
          <w:rFonts w:ascii="宋体" w:hAnsi="宋体"/>
          <w:sz w:val="21"/>
          <w:szCs w:val="21"/>
        </w:rPr>
        <w:t>信息带回到</w:t>
      </w:r>
      <w:r>
        <w:rPr>
          <w:rFonts w:hint="eastAsia" w:ascii="宋体" w:hAnsi="宋体"/>
          <w:sz w:val="21"/>
          <w:szCs w:val="21"/>
        </w:rPr>
        <w:t>企业信息修改</w:t>
      </w:r>
      <w:r>
        <w:rPr>
          <w:rFonts w:ascii="宋体" w:hAnsi="宋体"/>
          <w:sz w:val="21"/>
          <w:szCs w:val="21"/>
        </w:rPr>
        <w:t>界面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【取消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放弃当前</w:t>
      </w:r>
      <w:r>
        <w:rPr>
          <w:rFonts w:ascii="宋体" w:hAnsi="宋体"/>
          <w:sz w:val="21"/>
          <w:szCs w:val="21"/>
        </w:rPr>
        <w:t>操作，</w:t>
      </w:r>
      <w:r>
        <w:rPr>
          <w:rFonts w:hint="eastAsia" w:ascii="宋体" w:hAnsi="宋体"/>
          <w:sz w:val="21"/>
          <w:szCs w:val="21"/>
        </w:rPr>
        <w:t>页面关闭</w:t>
      </w:r>
      <w:r>
        <w:rPr>
          <w:rFonts w:ascii="宋体" w:hAnsi="宋体"/>
          <w:sz w:val="21"/>
          <w:szCs w:val="21"/>
        </w:rPr>
        <w:t>，返回</w:t>
      </w:r>
      <w:r>
        <w:rPr>
          <w:rFonts w:hint="eastAsia" w:ascii="宋体" w:hAnsi="宋体"/>
          <w:sz w:val="21"/>
          <w:szCs w:val="21"/>
        </w:rPr>
        <w:t>到</w:t>
      </w:r>
      <w:r>
        <w:rPr>
          <w:rFonts w:ascii="宋体" w:hAnsi="宋体"/>
          <w:sz w:val="21"/>
          <w:szCs w:val="21"/>
        </w:rPr>
        <w:t>企业</w:t>
      </w:r>
      <w:r>
        <w:rPr>
          <w:rFonts w:hint="eastAsia" w:ascii="宋体" w:hAnsi="宋体"/>
          <w:sz w:val="21"/>
          <w:szCs w:val="21"/>
        </w:rPr>
        <w:t>信息</w:t>
      </w:r>
      <w:r>
        <w:rPr>
          <w:rFonts w:ascii="宋体" w:hAnsi="宋体"/>
          <w:sz w:val="21"/>
          <w:szCs w:val="21"/>
        </w:rPr>
        <w:t>修改界面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【查询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输入机构</w:t>
      </w:r>
      <w:r>
        <w:rPr>
          <w:rFonts w:ascii="宋体" w:hAnsi="宋体"/>
          <w:sz w:val="21"/>
          <w:szCs w:val="21"/>
        </w:rPr>
        <w:t>名称，模糊查询</w:t>
      </w:r>
      <w:r>
        <w:rPr>
          <w:rFonts w:hint="eastAsia" w:ascii="宋体" w:hAnsi="宋体"/>
          <w:sz w:val="21"/>
          <w:szCs w:val="21"/>
        </w:rPr>
        <w:t>机构</w:t>
      </w:r>
      <w:r>
        <w:rPr>
          <w:rFonts w:ascii="宋体" w:hAnsi="宋体"/>
          <w:sz w:val="21"/>
          <w:szCs w:val="21"/>
        </w:rPr>
        <w:t>信息</w:t>
      </w:r>
    </w:p>
    <w:p>
      <w:pPr>
        <w:pStyle w:val="37"/>
        <w:numPr>
          <w:ilvl w:val="0"/>
          <w:numId w:val="7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ind w:firstLine="1680" w:firstLineChars="80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4"/>
      </w:pPr>
      <w:bookmarkStart w:id="24" w:name="_Toc16077"/>
      <w:r>
        <w:t>修改</w:t>
      </w:r>
      <w:r>
        <w:rPr>
          <w:rFonts w:hint="eastAsia"/>
        </w:rPr>
        <w:t>密码</w:t>
      </w:r>
      <w:bookmarkEnd w:id="24"/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企业用户登录</w:t>
      </w:r>
      <w:r>
        <w:rPr>
          <w:rFonts w:ascii="宋体" w:hAnsi="宋体"/>
          <w:sz w:val="21"/>
          <w:szCs w:val="21"/>
        </w:rPr>
        <w:t>到</w:t>
      </w:r>
      <w:r>
        <w:rPr>
          <w:rFonts w:hint="eastAsia" w:ascii="宋体" w:hAnsi="宋体"/>
          <w:sz w:val="21"/>
          <w:szCs w:val="21"/>
        </w:rPr>
        <w:t>资质和信用信息系统外网</w:t>
      </w:r>
      <w:r>
        <w:rPr>
          <w:rFonts w:ascii="宋体" w:hAnsi="宋体"/>
          <w:sz w:val="21"/>
          <w:szCs w:val="21"/>
        </w:rPr>
        <w:t>填报</w:t>
      </w:r>
      <w:r>
        <w:rPr>
          <w:rFonts w:hint="eastAsia" w:ascii="宋体" w:hAnsi="宋体"/>
          <w:sz w:val="21"/>
          <w:szCs w:val="21"/>
        </w:rPr>
        <w:t>系统，鼠标放在企业名称上会显示出现修改密码框，进入</w:t>
      </w:r>
      <w:r>
        <w:rPr>
          <w:rFonts w:ascii="宋体" w:hAnsi="宋体"/>
          <w:sz w:val="21"/>
          <w:szCs w:val="21"/>
        </w:rPr>
        <w:t>修改</w:t>
      </w:r>
      <w:r>
        <w:rPr>
          <w:rFonts w:hint="eastAsia" w:ascii="宋体" w:hAnsi="宋体"/>
          <w:sz w:val="21"/>
          <w:szCs w:val="21"/>
        </w:rPr>
        <w:t>密码</w:t>
      </w:r>
      <w:r>
        <w:rPr>
          <w:rFonts w:ascii="宋体" w:hAnsi="宋体"/>
          <w:sz w:val="21"/>
          <w:szCs w:val="21"/>
        </w:rPr>
        <w:t>页面</w:t>
      </w:r>
      <w:r>
        <w:rPr>
          <w:rFonts w:hint="eastAsia" w:ascii="宋体" w:hAnsi="宋体"/>
          <w:sz w:val="21"/>
          <w:szCs w:val="21"/>
        </w:rPr>
        <w:t>如</w:t>
      </w:r>
      <w:r>
        <w:rPr>
          <w:rFonts w:ascii="宋体" w:hAnsi="宋体"/>
          <w:sz w:val="21"/>
          <w:szCs w:val="21"/>
        </w:rPr>
        <w:t>下：</w:t>
      </w:r>
    </w:p>
    <w:p>
      <w:pPr>
        <w:ind w:firstLine="0" w:firstLineChars="0"/>
      </w:pPr>
      <w:r>
        <w:drawing>
          <wp:inline distT="0" distB="0" distL="114300" distR="114300">
            <wp:extent cx="6184900" cy="1743075"/>
            <wp:effectExtent l="0" t="0" r="0" b="952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8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【保存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修改并</w:t>
      </w:r>
      <w:r>
        <w:rPr>
          <w:rFonts w:ascii="宋体" w:hAnsi="宋体"/>
          <w:sz w:val="21"/>
          <w:szCs w:val="21"/>
        </w:rPr>
        <w:t>保存新的登录密码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【取消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清空当前</w:t>
      </w:r>
      <w:r>
        <w:rPr>
          <w:rFonts w:ascii="宋体" w:hAnsi="宋体"/>
          <w:sz w:val="21"/>
          <w:szCs w:val="21"/>
        </w:rPr>
        <w:t>输入</w:t>
      </w:r>
    </w:p>
    <w:p>
      <w:pPr>
        <w:pStyle w:val="37"/>
        <w:numPr>
          <w:ilvl w:val="0"/>
          <w:numId w:val="8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ind w:firstLine="1680" w:firstLineChars="80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bookmarkEnd w:id="21"/>
    <w:p>
      <w:pPr>
        <w:pStyle w:val="2"/>
      </w:pPr>
      <w:bookmarkStart w:id="25" w:name="_Toc2672"/>
      <w:r>
        <w:rPr>
          <w:rFonts w:hint="eastAsia"/>
        </w:rPr>
        <w:t>承装修试企业许可</w:t>
      </w:r>
      <w:r>
        <w:t>申请</w:t>
      </w:r>
      <w:bookmarkEnd w:id="25"/>
    </w:p>
    <w:p>
      <w:pPr>
        <w:ind w:firstLine="0" w:firstLineChars="0"/>
        <w:rPr>
          <w:rFonts w:ascii="宋体" w:hAnsi="宋体"/>
          <w:sz w:val="21"/>
          <w:szCs w:val="21"/>
        </w:rPr>
      </w:pPr>
      <w:bookmarkStart w:id="26" w:name="_Toc354565029"/>
      <w:r>
        <w:rPr>
          <w:rFonts w:hint="eastAsia" w:ascii="宋体" w:hAnsi="宋体"/>
          <w:sz w:val="21"/>
          <w:szCs w:val="21"/>
        </w:rPr>
        <w:t>申请从事承装（修、试）的企业可以同时选择申请承装、承修、承试许可。分别填写各类型申请资料。</w:t>
      </w:r>
    </w:p>
    <w:p>
      <w:pPr>
        <w:pStyle w:val="3"/>
      </w:pPr>
      <w:bookmarkStart w:id="89" w:name="_GoBack"/>
      <w:bookmarkEnd w:id="89"/>
      <w:bookmarkStart w:id="27" w:name="_Toc11430"/>
      <w:r>
        <w:rPr>
          <w:rFonts w:hint="eastAsia"/>
        </w:rPr>
        <w:t>许可证新申请数据</w:t>
      </w:r>
      <w:r>
        <w:t>填报</w:t>
      </w:r>
      <w:bookmarkEnd w:id="27"/>
    </w:p>
    <w:p>
      <w:pPr>
        <w:pStyle w:val="4"/>
      </w:pPr>
      <w:bookmarkStart w:id="28" w:name="_Toc23319"/>
      <w:r>
        <w:rPr>
          <w:rFonts w:hint="eastAsia"/>
        </w:rPr>
        <w:t>申请类别</w:t>
      </w:r>
      <w:r>
        <w:t>界面</w:t>
      </w:r>
      <w:bookmarkEnd w:id="28"/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企业用户登录系统，点击系统首页“</w:t>
      </w:r>
      <w:r>
        <w:rPr>
          <w:rFonts w:hint="eastAsia" w:ascii="宋体" w:hAnsi="宋体"/>
          <w:b/>
          <w:sz w:val="21"/>
          <w:szCs w:val="21"/>
        </w:rPr>
        <w:t>承装修业务许可申请</w:t>
      </w:r>
      <w:r>
        <w:rPr>
          <w:rFonts w:hint="eastAsia" w:ascii="宋体" w:hAnsi="宋体"/>
          <w:sz w:val="21"/>
          <w:szCs w:val="21"/>
        </w:rPr>
        <w:t>”-“</w:t>
      </w:r>
      <w:r>
        <w:rPr>
          <w:rFonts w:hint="eastAsia" w:ascii="宋体" w:hAnsi="宋体"/>
          <w:b/>
          <w:sz w:val="21"/>
          <w:szCs w:val="21"/>
        </w:rPr>
        <w:t>许可证新</w:t>
      </w:r>
      <w:r>
        <w:rPr>
          <w:rFonts w:ascii="宋体" w:hAnsi="宋体"/>
          <w:b/>
          <w:sz w:val="21"/>
          <w:szCs w:val="21"/>
        </w:rPr>
        <w:t>申请</w:t>
      </w:r>
      <w:r>
        <w:rPr>
          <w:rFonts w:hint="eastAsia" w:ascii="宋体" w:hAnsi="宋体"/>
          <w:sz w:val="21"/>
          <w:szCs w:val="21"/>
        </w:rPr>
        <w:t>”，进入许可证新</w:t>
      </w:r>
      <w:r>
        <w:rPr>
          <w:rFonts w:ascii="宋体" w:hAnsi="宋体"/>
          <w:sz w:val="21"/>
          <w:szCs w:val="21"/>
        </w:rPr>
        <w:t>申请</w:t>
      </w:r>
      <w:r>
        <w:rPr>
          <w:rFonts w:hint="eastAsia" w:ascii="宋体" w:hAnsi="宋体"/>
          <w:sz w:val="21"/>
          <w:szCs w:val="21"/>
        </w:rPr>
        <w:t>页面如</w:t>
      </w:r>
      <w:r>
        <w:rPr>
          <w:rFonts w:ascii="宋体" w:hAnsi="宋体"/>
          <w:sz w:val="21"/>
          <w:szCs w:val="21"/>
        </w:rPr>
        <w:t>下：</w:t>
      </w:r>
    </w:p>
    <w:p>
      <w:pPr>
        <w:ind w:firstLine="0" w:firstLineChars="0"/>
        <w:contextualSpacing w:val="0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6188075" cy="3427095"/>
            <wp:effectExtent l="0" t="0" r="14605" b="1905"/>
            <wp:docPr id="1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6"/>
    <w:p>
      <w:pPr>
        <w:pStyle w:val="37"/>
        <w:numPr>
          <w:ilvl w:val="0"/>
          <w:numId w:val="9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bookmarkStart w:id="29" w:name="_Toc43834815"/>
      <w:bookmarkStart w:id="30" w:name="_Toc10909"/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用户选择申请类别与级别，当选择同时承装、承修、承试时分别提供各类型资料；当选择申请性质为合并后申请、分立后申请时，需提供相应附件。</w:t>
      </w:r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用户选择提交类型为</w:t>
      </w:r>
      <w:r>
        <w:rPr>
          <w:rFonts w:hint="eastAsia" w:ascii="宋体" w:hAnsi="宋体"/>
          <w:sz w:val="21"/>
          <w:szCs w:val="21"/>
          <w:lang w:eastAsia="zh-CN"/>
        </w:rPr>
        <w:t>法定代表人</w:t>
      </w:r>
      <w:r>
        <w:rPr>
          <w:rFonts w:hint="eastAsia" w:ascii="宋体" w:hAnsi="宋体"/>
          <w:sz w:val="21"/>
          <w:szCs w:val="21"/>
        </w:rPr>
        <w:t>提交时，填写提交人姓名、证件号，提交自行提交需上传的附件；当用户选择提交类型为委托他人提交时，填写提交人姓名、身份证号，提交委托他人提交需上传的附件。</w:t>
      </w:r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【下一步】选择申请</w:t>
      </w:r>
      <w:r>
        <w:rPr>
          <w:rFonts w:ascii="宋体" w:hAnsi="宋体"/>
          <w:sz w:val="21"/>
          <w:szCs w:val="21"/>
        </w:rPr>
        <w:t>类型，</w:t>
      </w:r>
      <w:r>
        <w:rPr>
          <w:rFonts w:hint="eastAsia" w:ascii="宋体" w:hAnsi="宋体"/>
          <w:sz w:val="21"/>
          <w:szCs w:val="21"/>
        </w:rPr>
        <w:t>输入提交人姓名、身份证号；上传法人声明信息，</w:t>
      </w:r>
      <w:r>
        <w:rPr>
          <w:rFonts w:ascii="宋体" w:hAnsi="宋体"/>
          <w:sz w:val="21"/>
          <w:szCs w:val="21"/>
        </w:rPr>
        <w:t>点击下一步按钮到</w:t>
      </w:r>
      <w:r>
        <w:rPr>
          <w:rFonts w:hint="eastAsia" w:ascii="宋体" w:hAnsi="宋体"/>
          <w:sz w:val="21"/>
          <w:szCs w:val="21"/>
        </w:rPr>
        <w:t>基本信息</w:t>
      </w:r>
      <w:r>
        <w:rPr>
          <w:rFonts w:ascii="宋体" w:hAnsi="宋体"/>
          <w:sz w:val="21"/>
          <w:szCs w:val="21"/>
        </w:rPr>
        <w:t>填报页面</w:t>
      </w:r>
      <w:r>
        <w:rPr>
          <w:rFonts w:hint="eastAsia" w:ascii="宋体" w:hAnsi="宋体"/>
          <w:sz w:val="21"/>
          <w:szCs w:val="21"/>
        </w:rPr>
        <w:t>。</w:t>
      </w:r>
    </w:p>
    <w:p>
      <w:pPr>
        <w:pStyle w:val="37"/>
        <w:numPr>
          <w:ilvl w:val="0"/>
          <w:numId w:val="9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4"/>
      </w:pPr>
      <w:bookmarkStart w:id="31" w:name="_Toc3901"/>
      <w:r>
        <w:rPr>
          <w:rFonts w:hint="eastAsia"/>
        </w:rPr>
        <w:t>基本</w:t>
      </w:r>
      <w:r>
        <w:t>情况界面</w:t>
      </w:r>
      <w:bookmarkEnd w:id="31"/>
    </w:p>
    <w:p>
      <w:pPr>
        <w:ind w:firstLine="42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1"/>
          <w:szCs w:val="21"/>
        </w:rPr>
        <w:t>企业用户登录系统，点击系统首页‘</w:t>
      </w:r>
      <w:r>
        <w:rPr>
          <w:rFonts w:hint="eastAsia" w:ascii="宋体" w:hAnsi="宋体"/>
          <w:b/>
          <w:bCs/>
          <w:sz w:val="21"/>
          <w:szCs w:val="21"/>
        </w:rPr>
        <w:t>承装修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’-“</w:t>
      </w:r>
      <w:r>
        <w:rPr>
          <w:rFonts w:hint="eastAsia" w:ascii="宋体" w:hAnsi="宋体"/>
          <w:b/>
          <w:sz w:val="21"/>
          <w:szCs w:val="21"/>
        </w:rPr>
        <w:t>许可证新</w:t>
      </w:r>
      <w:r>
        <w:rPr>
          <w:rFonts w:ascii="宋体" w:hAnsi="宋体"/>
          <w:b/>
          <w:sz w:val="21"/>
          <w:szCs w:val="21"/>
        </w:rPr>
        <w:t>申请</w:t>
      </w:r>
      <w:r>
        <w:rPr>
          <w:rFonts w:hint="eastAsia" w:ascii="宋体" w:hAnsi="宋体"/>
          <w:sz w:val="21"/>
          <w:szCs w:val="21"/>
        </w:rPr>
        <w:t>”，完成“</w:t>
      </w:r>
      <w:r>
        <w:rPr>
          <w:rFonts w:hint="eastAsia" w:ascii="宋体" w:hAnsi="宋体"/>
          <w:b/>
          <w:sz w:val="21"/>
          <w:szCs w:val="21"/>
        </w:rPr>
        <w:t>申请</w:t>
      </w:r>
      <w:r>
        <w:rPr>
          <w:rFonts w:ascii="宋体" w:hAnsi="宋体"/>
          <w:b/>
          <w:sz w:val="21"/>
          <w:szCs w:val="21"/>
        </w:rPr>
        <w:t>类别</w:t>
      </w:r>
      <w:r>
        <w:rPr>
          <w:rFonts w:ascii="宋体" w:hAnsi="宋体"/>
          <w:sz w:val="21"/>
          <w:szCs w:val="21"/>
        </w:rPr>
        <w:t>”-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上传法人信息附件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ascii="宋体" w:hAnsi="宋体"/>
          <w:sz w:val="21"/>
          <w:szCs w:val="21"/>
        </w:rPr>
        <w:t>点击下一步</w:t>
      </w:r>
      <w:r>
        <w:rPr>
          <w:rFonts w:hint="eastAsia" w:ascii="宋体" w:hAnsi="宋体"/>
          <w:sz w:val="21"/>
          <w:szCs w:val="21"/>
        </w:rPr>
        <w:t>进入基本</w:t>
      </w:r>
      <w:r>
        <w:rPr>
          <w:rFonts w:ascii="宋体" w:hAnsi="宋体"/>
          <w:sz w:val="21"/>
          <w:szCs w:val="21"/>
        </w:rPr>
        <w:t>情况填报</w:t>
      </w:r>
      <w:r>
        <w:rPr>
          <w:rFonts w:hint="eastAsia" w:ascii="宋体" w:hAnsi="宋体"/>
          <w:sz w:val="21"/>
          <w:szCs w:val="21"/>
        </w:rPr>
        <w:t>页面如</w:t>
      </w:r>
      <w:r>
        <w:rPr>
          <w:rFonts w:ascii="宋体" w:hAnsi="宋体"/>
          <w:sz w:val="21"/>
          <w:szCs w:val="21"/>
        </w:rPr>
        <w:t>下</w:t>
      </w:r>
      <w:r>
        <w:rPr>
          <w:rFonts w:hint="eastAsia" w:ascii="宋体" w:hAnsi="宋体"/>
          <w:sz w:val="21"/>
          <w:szCs w:val="21"/>
        </w:rPr>
        <w:t>:</w:t>
      </w:r>
    </w:p>
    <w:p>
      <w:pPr>
        <w:adjustRightInd w:val="0"/>
        <w:snapToGrid w:val="0"/>
        <w:ind w:firstLine="0" w:firstLineChars="0"/>
        <w:contextualSpacing w:val="0"/>
      </w:pPr>
      <w:r>
        <w:drawing>
          <wp:inline distT="0" distB="0" distL="114300" distR="114300">
            <wp:extent cx="6184265" cy="3942715"/>
            <wp:effectExtent l="0" t="0" r="6985" b="635"/>
            <wp:docPr id="10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0" w:firstLineChars="0"/>
        <w:contextualSpacing w:val="0"/>
      </w:pPr>
      <w:r>
        <w:drawing>
          <wp:inline distT="0" distB="0" distL="114300" distR="114300">
            <wp:extent cx="6184265" cy="3561715"/>
            <wp:effectExtent l="0" t="0" r="6985" b="635"/>
            <wp:docPr id="10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0" w:firstLineChars="0"/>
        <w:contextualSpacing w:val="0"/>
      </w:pPr>
    </w:p>
    <w:p>
      <w:pPr>
        <w:pStyle w:val="37"/>
        <w:numPr>
          <w:ilvl w:val="0"/>
          <w:numId w:val="10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【保存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输入申请人</w:t>
      </w:r>
      <w:r>
        <w:rPr>
          <w:rFonts w:ascii="宋体" w:hAnsi="宋体"/>
          <w:sz w:val="21"/>
          <w:szCs w:val="21"/>
        </w:rPr>
        <w:t>基本</w:t>
      </w:r>
      <w:r>
        <w:rPr>
          <w:rFonts w:hint="eastAsia" w:ascii="宋体" w:hAnsi="宋体"/>
          <w:sz w:val="21"/>
          <w:szCs w:val="21"/>
        </w:rPr>
        <w:t>情况，</w:t>
      </w:r>
      <w:r>
        <w:rPr>
          <w:rFonts w:ascii="宋体" w:hAnsi="宋体"/>
          <w:sz w:val="21"/>
          <w:szCs w:val="21"/>
        </w:rPr>
        <w:t>上传附件信息</w:t>
      </w:r>
      <w:r>
        <w:rPr>
          <w:rFonts w:hint="eastAsia" w:ascii="宋体" w:hAnsi="宋体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保存当前页面信息</w:t>
      </w:r>
      <w:r>
        <w:rPr>
          <w:rFonts w:hint="eastAsia" w:ascii="宋体" w:hAnsi="宋体"/>
          <w:sz w:val="21"/>
          <w:szCs w:val="21"/>
        </w:rPr>
        <w:t>并</w:t>
      </w:r>
      <w:r>
        <w:rPr>
          <w:rFonts w:ascii="宋体" w:hAnsi="宋体"/>
          <w:sz w:val="21"/>
          <w:szCs w:val="21"/>
        </w:rPr>
        <w:t>停留在当前页面</w:t>
      </w:r>
      <w:r>
        <w:rPr>
          <w:rFonts w:hint="eastAsia" w:ascii="宋体" w:hAnsi="宋体"/>
          <w:sz w:val="21"/>
          <w:szCs w:val="21"/>
        </w:rPr>
        <w:t>。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【选取文件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浏览本地</w:t>
      </w:r>
      <w:r>
        <w:rPr>
          <w:rFonts w:ascii="宋体" w:hAnsi="宋体"/>
          <w:sz w:val="21"/>
          <w:szCs w:val="21"/>
        </w:rPr>
        <w:t>附件</w:t>
      </w:r>
      <w:r>
        <w:rPr>
          <w:rFonts w:hint="eastAsia" w:ascii="宋体" w:hAnsi="宋体"/>
          <w:sz w:val="21"/>
          <w:szCs w:val="21"/>
        </w:rPr>
        <w:t>。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【上传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将</w:t>
      </w:r>
      <w:r>
        <w:rPr>
          <w:rFonts w:ascii="宋体" w:hAnsi="宋体"/>
          <w:sz w:val="21"/>
          <w:szCs w:val="21"/>
        </w:rPr>
        <w:t>本地附件上传到系统</w:t>
      </w:r>
      <w:r>
        <w:rPr>
          <w:rFonts w:hint="eastAsia" w:ascii="宋体" w:hAnsi="宋体"/>
          <w:sz w:val="21"/>
          <w:szCs w:val="21"/>
        </w:rPr>
        <w:t>。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【其他页签</w:t>
      </w:r>
      <w:r>
        <w:rPr>
          <w:rFonts w:ascii="宋体" w:hAnsi="宋体"/>
          <w:sz w:val="21"/>
          <w:szCs w:val="21"/>
        </w:rPr>
        <w:t>】点击</w:t>
      </w:r>
      <w:r>
        <w:rPr>
          <w:rFonts w:hint="eastAsia" w:ascii="宋体" w:hAnsi="宋体"/>
          <w:sz w:val="21"/>
          <w:szCs w:val="21"/>
        </w:rPr>
        <w:t>“</w:t>
      </w:r>
      <w:r>
        <w:rPr>
          <w:rFonts w:hint="eastAsia" w:ascii="宋体" w:hAnsi="宋体"/>
          <w:b/>
          <w:sz w:val="21"/>
          <w:szCs w:val="21"/>
        </w:rPr>
        <w:t>基本情况</w:t>
      </w:r>
      <w:r>
        <w:rPr>
          <w:rFonts w:ascii="宋体" w:hAnsi="宋体"/>
          <w:sz w:val="21"/>
          <w:szCs w:val="21"/>
        </w:rPr>
        <w:t>”</w:t>
      </w:r>
      <w:r>
        <w:rPr>
          <w:rFonts w:hint="eastAsia" w:ascii="宋体" w:hAnsi="宋体"/>
          <w:sz w:val="21"/>
          <w:szCs w:val="21"/>
        </w:rPr>
        <w:t>以外</w:t>
      </w:r>
      <w:r>
        <w:rPr>
          <w:rFonts w:ascii="宋体" w:hAnsi="宋体"/>
          <w:sz w:val="21"/>
          <w:szCs w:val="21"/>
        </w:rPr>
        <w:t>的其他页签</w:t>
      </w:r>
      <w:r>
        <w:rPr>
          <w:rFonts w:hint="eastAsia" w:ascii="宋体" w:hAnsi="宋体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放弃当前页面操作，进入其他信息填报界面</w:t>
      </w:r>
      <w:r>
        <w:rPr>
          <w:rFonts w:hint="eastAsia" w:ascii="宋体" w:hAnsi="宋体"/>
          <w:sz w:val="21"/>
          <w:szCs w:val="21"/>
        </w:rPr>
        <w:t>。</w:t>
      </w:r>
    </w:p>
    <w:p>
      <w:pPr>
        <w:pStyle w:val="37"/>
        <w:numPr>
          <w:ilvl w:val="0"/>
          <w:numId w:val="10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申请人基本</w:t>
      </w:r>
      <w:r>
        <w:rPr>
          <w:rFonts w:ascii="宋体" w:hAnsi="宋体"/>
          <w:sz w:val="21"/>
          <w:szCs w:val="21"/>
        </w:rPr>
        <w:t>情况内的信息会直接从企业</w:t>
      </w:r>
      <w:r>
        <w:rPr>
          <w:rFonts w:hint="eastAsia" w:ascii="宋体" w:hAnsi="宋体"/>
          <w:sz w:val="21"/>
          <w:szCs w:val="21"/>
        </w:rPr>
        <w:t>注册</w:t>
      </w:r>
      <w:r>
        <w:rPr>
          <w:rFonts w:ascii="宋体" w:hAnsi="宋体"/>
          <w:sz w:val="21"/>
          <w:szCs w:val="21"/>
        </w:rPr>
        <w:t>的基本信息中取得，</w:t>
      </w:r>
      <w:r>
        <w:rPr>
          <w:rFonts w:hint="eastAsia" w:ascii="宋体" w:hAnsi="宋体"/>
          <w:sz w:val="21"/>
          <w:szCs w:val="21"/>
        </w:rPr>
        <w:t>且不允许用户修改。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  <w:lang w:eastAsia="zh-CN"/>
        </w:rPr>
        <w:t>有模板下载的必须按要求下载模板后，按模板要求填写后上传附件。</w:t>
      </w:r>
    </w:p>
    <w:p>
      <w:pPr>
        <w:pStyle w:val="4"/>
      </w:pPr>
      <w:bookmarkStart w:id="32" w:name="_Toc15517"/>
      <w:r>
        <w:rPr>
          <w:rFonts w:hint="eastAsia"/>
        </w:rPr>
        <w:t>技术负责人界面</w:t>
      </w:r>
      <w:bookmarkEnd w:id="32"/>
    </w:p>
    <w:p>
      <w:pPr>
        <w:ind w:firstLine="420"/>
        <w:rPr>
          <w:rFonts w:ascii="宋体" w:hAnsi="宋体"/>
          <w:sz w:val="21"/>
          <w:szCs w:val="21"/>
          <w:lang w:val="zh-CN"/>
        </w:rPr>
      </w:pPr>
      <w:r>
        <w:rPr>
          <w:rFonts w:hint="eastAsia" w:ascii="宋体" w:hAnsi="宋体"/>
          <w:sz w:val="21"/>
          <w:szCs w:val="21"/>
          <w:lang w:val="zh-CN"/>
        </w:rPr>
        <w:t>企业用户登录系统，点击‘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="宋体" w:hAnsi="宋体"/>
          <w:sz w:val="21"/>
          <w:szCs w:val="21"/>
          <w:lang w:val="zh-CN"/>
        </w:rPr>
        <w:t>-‘</w:t>
      </w:r>
      <w:r>
        <w:rPr>
          <w:rFonts w:hint="eastAsia" w:ascii="宋体" w:hAnsi="宋体"/>
          <w:b/>
          <w:sz w:val="21"/>
          <w:szCs w:val="21"/>
          <w:lang w:val="zh-CN"/>
        </w:rPr>
        <w:t>许可证新申请</w:t>
      </w:r>
      <w:r>
        <w:rPr>
          <w:rFonts w:hint="eastAsia" w:ascii="宋体" w:hAnsi="宋体"/>
          <w:sz w:val="21"/>
          <w:szCs w:val="21"/>
          <w:lang w:val="zh-CN"/>
        </w:rPr>
        <w:t>’-‘</w:t>
      </w:r>
      <w:r>
        <w:rPr>
          <w:rFonts w:hint="eastAsia" w:ascii="宋体" w:hAnsi="宋体"/>
          <w:b/>
          <w:sz w:val="21"/>
          <w:szCs w:val="21"/>
          <w:lang w:val="zh-CN"/>
        </w:rPr>
        <w:t>技术负责人</w:t>
      </w:r>
      <w:r>
        <w:rPr>
          <w:rFonts w:hint="eastAsia" w:ascii="宋体" w:hAnsi="宋体"/>
          <w:sz w:val="21"/>
          <w:szCs w:val="21"/>
          <w:lang w:val="zh-CN"/>
        </w:rPr>
        <w:t>’，如下图所示：</w:t>
      </w:r>
    </w:p>
    <w:p>
      <w:pPr>
        <w:adjustRightInd w:val="0"/>
        <w:snapToGrid w:val="0"/>
        <w:ind w:firstLine="20"/>
        <w:contextualSpacing w:val="0"/>
      </w:pPr>
      <w:r>
        <w:rPr>
          <w:rFonts w:ascii="Times New Roman" w:hAnsi="Times New Roman"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drawing>
          <wp:inline distT="0" distB="0" distL="114300" distR="114300">
            <wp:extent cx="6188075" cy="4281805"/>
            <wp:effectExtent l="0" t="0" r="3175" b="4445"/>
            <wp:docPr id="10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20"/>
        <w:contextualSpacing w:val="0"/>
      </w:pPr>
    </w:p>
    <w:p>
      <w:pPr>
        <w:adjustRightInd w:val="0"/>
        <w:snapToGrid w:val="0"/>
        <w:ind w:firstLine="0" w:firstLineChars="0"/>
        <w:contextualSpacing w:val="0"/>
      </w:pPr>
      <w:r>
        <w:rPr>
          <w:rFonts w:hint="eastAsia"/>
        </w:rPr>
        <w:t xml:space="preserve">     </w:t>
      </w:r>
      <w:r>
        <w:rPr>
          <w:rFonts w:hint="eastAsia"/>
        </w:rPr>
        <w:tab/>
      </w:r>
      <w:r>
        <w:rPr>
          <w:rFonts w:hint="eastAsia"/>
        </w:rPr>
        <w:t>（1）操作说明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按要求填写相关信息并保存。</w:t>
      </w:r>
    </w:p>
    <w:p>
      <w:pPr>
        <w:ind w:firstLine="20"/>
        <w:contextualSpacing w:val="0"/>
        <w:rPr>
          <w:rFonts w:ascii="宋体" w:hAnsi="宋体"/>
          <w:sz w:val="21"/>
          <w:szCs w:val="21"/>
        </w:rPr>
      </w:pPr>
      <w:r>
        <w:rPr>
          <w:rFonts w:ascii="Times New Roman" w:hAnsi="Times New Roman"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drawing>
          <wp:inline distT="0" distB="0" distL="114300" distR="114300">
            <wp:extent cx="6182360" cy="4140200"/>
            <wp:effectExtent l="0" t="0" r="8890" b="12700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【确定】保存当前页面中输入和选择的信息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【选取文件】浏览本地附件信息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【上传】上传本地附件至系统</w:t>
      </w:r>
    </w:p>
    <w:p>
      <w:pPr>
        <w:pStyle w:val="37"/>
        <w:numPr>
          <w:ilvl w:val="0"/>
          <w:numId w:val="11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证明人电话输入处进行了电话号码规则校验，必须输入正确的手机号码。</w:t>
      </w:r>
    </w:p>
    <w:p>
      <w:pPr>
        <w:pStyle w:val="4"/>
      </w:pPr>
      <w:bookmarkStart w:id="33" w:name="_Toc15968"/>
      <w:r>
        <w:rPr>
          <w:rFonts w:hint="eastAsia"/>
        </w:rPr>
        <w:t>安全负责人界面</w:t>
      </w:r>
      <w:bookmarkEnd w:id="33"/>
    </w:p>
    <w:p>
      <w:pPr>
        <w:ind w:firstLine="420"/>
        <w:rPr>
          <w:rFonts w:ascii="宋体" w:hAnsi="宋体"/>
          <w:sz w:val="21"/>
          <w:szCs w:val="21"/>
          <w:lang w:val="zh-CN"/>
        </w:rPr>
      </w:pPr>
      <w:r>
        <w:rPr>
          <w:rFonts w:hint="eastAsia" w:ascii="宋体" w:hAnsi="宋体"/>
          <w:sz w:val="21"/>
          <w:szCs w:val="21"/>
          <w:lang w:val="zh-CN"/>
        </w:rPr>
        <w:t>企业用户登录系统，点击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="宋体" w:hAnsi="宋体"/>
          <w:sz w:val="21"/>
          <w:szCs w:val="21"/>
          <w:lang w:val="zh-CN"/>
        </w:rPr>
        <w:t>-‘</w:t>
      </w:r>
      <w:r>
        <w:rPr>
          <w:rFonts w:hint="eastAsia" w:ascii="宋体" w:hAnsi="宋体"/>
          <w:b/>
          <w:sz w:val="21"/>
          <w:szCs w:val="21"/>
          <w:lang w:val="zh-CN"/>
        </w:rPr>
        <w:t>许可证新申请</w:t>
      </w:r>
      <w:r>
        <w:rPr>
          <w:rFonts w:hint="eastAsia" w:ascii="宋体" w:hAnsi="宋体"/>
          <w:sz w:val="21"/>
          <w:szCs w:val="21"/>
          <w:lang w:val="zh-CN"/>
        </w:rPr>
        <w:t>’-‘</w:t>
      </w:r>
      <w:r>
        <w:rPr>
          <w:rFonts w:hint="eastAsia" w:ascii="宋体" w:hAnsi="宋体"/>
          <w:b/>
          <w:sz w:val="21"/>
          <w:szCs w:val="21"/>
          <w:lang w:val="zh-CN"/>
        </w:rPr>
        <w:t>安全负责人</w:t>
      </w:r>
      <w:r>
        <w:rPr>
          <w:rFonts w:hint="eastAsia" w:ascii="宋体" w:hAnsi="宋体"/>
          <w:sz w:val="21"/>
          <w:szCs w:val="21"/>
          <w:lang w:val="zh-CN"/>
        </w:rPr>
        <w:t>’如下图所示：</w:t>
      </w:r>
    </w:p>
    <w:p>
      <w:pPr>
        <w:adjustRightInd w:val="0"/>
        <w:snapToGrid w:val="0"/>
        <w:ind w:firstLine="0" w:firstLineChars="0"/>
        <w:contextualSpacing w:val="0"/>
      </w:pPr>
      <w:r>
        <w:drawing>
          <wp:inline distT="0" distB="0" distL="114300" distR="114300">
            <wp:extent cx="6187440" cy="4923790"/>
            <wp:effectExtent l="0" t="0" r="3810" b="10160"/>
            <wp:docPr id="1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492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（1）操作说明</w:t>
      </w:r>
    </w:p>
    <w:p>
      <w:pPr>
        <w:pStyle w:val="37"/>
        <w:numPr>
          <w:ilvl w:val="0"/>
          <w:numId w:val="12"/>
        </w:numPr>
        <w:ind w:left="0" w:firstLine="1134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【保存】保存当前界面中输入和选择的数据</w:t>
      </w:r>
    </w:p>
    <w:p>
      <w:pPr>
        <w:pStyle w:val="37"/>
        <w:numPr>
          <w:ilvl w:val="0"/>
          <w:numId w:val="12"/>
        </w:numPr>
        <w:ind w:left="0" w:firstLine="1134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【选取文件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浏览本地文件</w:t>
      </w:r>
    </w:p>
    <w:p>
      <w:pPr>
        <w:pStyle w:val="37"/>
        <w:numPr>
          <w:ilvl w:val="0"/>
          <w:numId w:val="12"/>
        </w:numPr>
        <w:ind w:left="0" w:firstLine="1134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【上传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上传本地文件至系统</w:t>
      </w:r>
    </w:p>
    <w:p>
      <w:pPr>
        <w:pStyle w:val="37"/>
        <w:numPr>
          <w:ilvl w:val="0"/>
          <w:numId w:val="12"/>
        </w:numPr>
        <w:ind w:left="0" w:firstLine="1134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【工作经历+】新增工作经历界面，如下图：</w:t>
      </w:r>
    </w:p>
    <w:p>
      <w:pPr>
        <w:ind w:firstLine="20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Times New Roman" w:hAnsi="Times New Roman"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drawing>
          <wp:inline distT="0" distB="0" distL="114300" distR="114300">
            <wp:extent cx="6182995" cy="4143375"/>
            <wp:effectExtent l="0" t="0" r="8255" b="9525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【培训经历+】新增培训经历界面，如下图：</w:t>
      </w:r>
    </w:p>
    <w:p>
      <w:pPr>
        <w:ind w:firstLine="20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Times New Roman" w:hAnsi="Times New Roman"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drawing>
          <wp:inline distT="0" distB="0" distL="114300" distR="114300">
            <wp:extent cx="6182995" cy="3462020"/>
            <wp:effectExtent l="0" t="0" r="8255" b="5080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ind w:left="0" w:firstLine="1134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【删除】删除该条信息</w:t>
      </w:r>
    </w:p>
    <w:p>
      <w:pPr>
        <w:numPr>
          <w:ilvl w:val="0"/>
          <w:numId w:val="12"/>
        </w:numPr>
        <w:ind w:left="0" w:firstLine="1134"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【修改】编辑该条信息</w:t>
      </w:r>
    </w:p>
    <w:p>
      <w:p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（2）数据输入注意事项</w:t>
      </w:r>
    </w:p>
    <w:p>
      <w:pPr>
        <w:pStyle w:val="37"/>
        <w:ind w:left="7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4"/>
      </w:pPr>
      <w:r>
        <w:rPr>
          <w:rFonts w:hint="eastAsia"/>
          <w:lang w:eastAsia="zh-CN"/>
        </w:rPr>
        <w:t>电力相关技术人员</w:t>
      </w:r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企业用户登陆系统，点击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Theme="minorEastAsia" w:hAnsiTheme="minorEastAsia" w:eastAsiaTheme="minorEastAsia"/>
          <w:sz w:val="21"/>
          <w:szCs w:val="21"/>
        </w:rPr>
        <w:t>-‘</w:t>
      </w:r>
      <w:r>
        <w:rPr>
          <w:rFonts w:hint="eastAsia" w:asciiTheme="minorEastAsia" w:hAnsiTheme="minorEastAsia" w:eastAsiaTheme="minorEastAsia"/>
          <w:b/>
          <w:sz w:val="21"/>
          <w:szCs w:val="21"/>
        </w:rPr>
        <w:t>许可证新申请</w:t>
      </w:r>
      <w:r>
        <w:rPr>
          <w:rFonts w:hint="eastAsia" w:asciiTheme="minorEastAsia" w:hAnsiTheme="minorEastAsia" w:eastAsiaTheme="minorEastAsia"/>
          <w:sz w:val="21"/>
          <w:szCs w:val="21"/>
        </w:rPr>
        <w:t>’-‘</w:t>
      </w:r>
      <w:r>
        <w:rPr>
          <w:rFonts w:hint="eastAsia" w:asciiTheme="minorEastAsia" w:hAnsiTheme="minorEastAsia" w:eastAsiaTheme="minorEastAsia"/>
          <w:b/>
          <w:sz w:val="21"/>
          <w:szCs w:val="21"/>
          <w:lang w:eastAsia="zh-CN"/>
        </w:rPr>
        <w:t>电力相关技术</w:t>
      </w:r>
      <w:r>
        <w:rPr>
          <w:rFonts w:hint="eastAsia" w:asciiTheme="minorEastAsia" w:hAnsiTheme="minorEastAsia" w:eastAsiaTheme="minorEastAsia"/>
          <w:b/>
          <w:sz w:val="21"/>
          <w:szCs w:val="21"/>
        </w:rPr>
        <w:t>人员</w:t>
      </w:r>
      <w:r>
        <w:rPr>
          <w:rFonts w:hint="eastAsia" w:asciiTheme="minorEastAsia" w:hAnsiTheme="minorEastAsia" w:eastAsiaTheme="minorEastAsia"/>
          <w:sz w:val="21"/>
          <w:szCs w:val="21"/>
        </w:rPr>
        <w:t>’链接，如下图所示：</w:t>
      </w:r>
    </w:p>
    <w:p>
      <w:pPr>
        <w:ind w:firstLine="20"/>
        <w:rPr>
          <w:lang w:val="zh-CN"/>
        </w:rPr>
      </w:pPr>
      <w:r>
        <w:rPr>
          <w:rFonts w:ascii="Times New Roman" w:hAnsi="Times New Roman"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drawing>
          <wp:inline distT="0" distB="0" distL="114300" distR="114300">
            <wp:extent cx="6182995" cy="2726055"/>
            <wp:effectExtent l="0" t="0" r="8255" b="17145"/>
            <wp:docPr id="1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13"/>
        </w:numPr>
        <w:ind w:firstLine="422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操作说明</w:t>
      </w:r>
    </w:p>
    <w:p>
      <w:pPr>
        <w:ind w:left="422" w:firstLine="840" w:firstLineChars="400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用户新增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相关</w:t>
      </w:r>
      <w:r>
        <w:rPr>
          <w:rFonts w:hint="eastAsia" w:asciiTheme="minorEastAsia" w:hAnsiTheme="minorEastAsia" w:eastAsiaTheme="minorEastAsia"/>
          <w:sz w:val="21"/>
          <w:szCs w:val="21"/>
        </w:rPr>
        <w:t>人员后，系统自动汇总电工人员总数，并显示。</w:t>
      </w:r>
    </w:p>
    <w:p>
      <w:pPr>
        <w:numPr>
          <w:ilvl w:val="0"/>
          <w:numId w:val="14"/>
        </w:numPr>
        <w:ind w:left="0" w:firstLine="1134" w:firstLineChars="0"/>
        <w:contextualSpacing w:val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【编辑】可编辑修改此条持电工进网作业许可证人员信息</w:t>
      </w:r>
    </w:p>
    <w:p>
      <w:pPr>
        <w:numPr>
          <w:ilvl w:val="0"/>
          <w:numId w:val="14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【删除】删除此条持电工进网作业许可证人员信息</w:t>
      </w:r>
    </w:p>
    <w:p>
      <w:pPr>
        <w:numPr>
          <w:ilvl w:val="0"/>
          <w:numId w:val="13"/>
        </w:numPr>
        <w:ind w:left="1142" w:leftChars="0" w:firstLine="422" w:firstLineChars="200"/>
        <w:rPr>
          <w:rFonts w:hint="eastAsia"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数据输入注意事项</w:t>
      </w:r>
    </w:p>
    <w:p>
      <w:pPr>
        <w:numPr>
          <w:ilvl w:val="0"/>
          <w:numId w:val="0"/>
        </w:numPr>
        <w:ind w:leftChars="200"/>
        <w:rPr>
          <w:rFonts w:hint="default" w:asciiTheme="minorEastAsia" w:hAnsiTheme="minorEastAsia" w:eastAsiaTheme="minorEastAsia"/>
          <w:b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b/>
          <w:sz w:val="21"/>
          <w:szCs w:val="21"/>
          <w:lang w:val="en-US" w:eastAsia="zh-CN"/>
        </w:rPr>
        <w:t xml:space="preserve">              无</w:t>
      </w:r>
    </w:p>
    <w:p>
      <w:pPr>
        <w:ind w:left="422" w:firstLine="420"/>
        <w:rPr>
          <w:rFonts w:asciiTheme="minorEastAsia" w:hAnsiTheme="minorEastAsia" w:eastAsiaTheme="minorEastAsia"/>
          <w:color w:val="FF0000"/>
          <w:sz w:val="21"/>
          <w:szCs w:val="21"/>
        </w:rPr>
      </w:pPr>
    </w:p>
    <w:p>
      <w:pPr>
        <w:pStyle w:val="4"/>
        <w:rPr>
          <w:lang w:val="en-US"/>
        </w:rPr>
      </w:pPr>
      <w:r>
        <w:rPr>
          <w:rFonts w:hint="eastAsia"/>
          <w:lang w:val="en-US" w:eastAsia="zh-CN"/>
        </w:rPr>
        <w:t>电力相关专业技能人员</w:t>
      </w:r>
    </w:p>
    <w:p>
      <w:pPr>
        <w:ind w:left="422"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企业用户登录系统，点击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Theme="minorEastAsia" w:hAnsiTheme="minorEastAsia" w:eastAsiaTheme="minorEastAsia"/>
          <w:sz w:val="21"/>
          <w:szCs w:val="21"/>
        </w:rPr>
        <w:t>-‘</w:t>
      </w:r>
      <w:r>
        <w:rPr>
          <w:rFonts w:hint="eastAsia" w:asciiTheme="minorEastAsia" w:hAnsiTheme="minorEastAsia" w:eastAsiaTheme="minorEastAsia"/>
          <w:b/>
          <w:sz w:val="21"/>
          <w:szCs w:val="21"/>
        </w:rPr>
        <w:t>许可证新申请</w:t>
      </w:r>
      <w:r>
        <w:rPr>
          <w:rFonts w:hint="eastAsia" w:asciiTheme="minorEastAsia" w:hAnsiTheme="minorEastAsia" w:eastAsiaTheme="minorEastAsia"/>
          <w:sz w:val="21"/>
          <w:szCs w:val="21"/>
        </w:rPr>
        <w:t>’-‘</w:t>
      </w:r>
      <w:r>
        <w:rPr>
          <w:rFonts w:hint="eastAsia" w:asciiTheme="minorEastAsia" w:hAnsiTheme="minorEastAsia" w:eastAsiaTheme="minorEastAsia"/>
          <w:b/>
          <w:sz w:val="21"/>
          <w:szCs w:val="21"/>
          <w:lang w:eastAsia="zh-CN"/>
        </w:rPr>
        <w:t>电力相关专业技能</w:t>
      </w:r>
      <w:r>
        <w:rPr>
          <w:rFonts w:hint="eastAsia" w:asciiTheme="minorEastAsia" w:hAnsiTheme="minorEastAsia" w:eastAsiaTheme="minorEastAsia"/>
          <w:b/>
          <w:sz w:val="21"/>
          <w:szCs w:val="21"/>
        </w:rPr>
        <w:t>人员</w:t>
      </w:r>
      <w:r>
        <w:rPr>
          <w:rFonts w:hint="eastAsia" w:asciiTheme="minorEastAsia" w:hAnsiTheme="minorEastAsia" w:eastAsiaTheme="minorEastAsia"/>
          <w:sz w:val="21"/>
          <w:szCs w:val="21"/>
        </w:rPr>
        <w:t>’链接，页面如下图显示：</w:t>
      </w:r>
    </w:p>
    <w:p>
      <w:pPr>
        <w:ind w:firstLine="0" w:firstLineChars="0"/>
        <w:rPr>
          <w:rFonts w:asciiTheme="minorEastAsia" w:hAnsiTheme="minorEastAsia" w:eastAsiaTheme="minorEastAsia"/>
          <w:sz w:val="21"/>
          <w:szCs w:val="21"/>
        </w:rPr>
      </w:pPr>
      <w:r>
        <w:drawing>
          <wp:inline distT="0" distB="0" distL="114300" distR="114300">
            <wp:extent cx="6185535" cy="3039110"/>
            <wp:effectExtent l="0" t="0" r="5715" b="8890"/>
            <wp:docPr id="1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15"/>
        </w:numPr>
        <w:ind w:firstLine="422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操作说明</w:t>
      </w:r>
    </w:p>
    <w:p>
      <w:pPr>
        <w:ind w:firstLine="840" w:firstLineChars="400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用户新增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电工</w:t>
      </w:r>
      <w:r>
        <w:rPr>
          <w:rFonts w:hint="eastAsia" w:asciiTheme="minorEastAsia" w:hAnsiTheme="minorEastAsia" w:eastAsiaTheme="minorEastAsia"/>
          <w:sz w:val="21"/>
          <w:szCs w:val="21"/>
        </w:rPr>
        <w:t>人员信息后，系统自动汇总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电工</w:t>
      </w:r>
      <w:r>
        <w:rPr>
          <w:rFonts w:hint="eastAsia" w:asciiTheme="minorEastAsia" w:hAnsiTheme="minorEastAsia" w:eastAsiaTheme="minorEastAsia"/>
          <w:sz w:val="21"/>
          <w:szCs w:val="21"/>
        </w:rPr>
        <w:t>人员总数，并显示。</w:t>
      </w:r>
    </w:p>
    <w:p>
      <w:pPr>
        <w:numPr>
          <w:ilvl w:val="0"/>
          <w:numId w:val="16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【+】点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电工</w:t>
      </w:r>
      <w:r>
        <w:rPr>
          <w:rFonts w:hint="eastAsia" w:asciiTheme="minorEastAsia" w:hAnsiTheme="minorEastAsia" w:eastAsiaTheme="minorEastAsia"/>
          <w:sz w:val="21"/>
          <w:szCs w:val="21"/>
        </w:rPr>
        <w:t>信息后面的“+”，新增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电工</w:t>
      </w:r>
      <w:r>
        <w:rPr>
          <w:rFonts w:hint="eastAsia" w:asciiTheme="minorEastAsia" w:hAnsiTheme="minorEastAsia" w:eastAsiaTheme="minorEastAsia"/>
          <w:sz w:val="21"/>
          <w:szCs w:val="21"/>
        </w:rPr>
        <w:t>信息，如下图：</w:t>
      </w:r>
    </w:p>
    <w:p>
      <w:pPr>
        <w:numPr>
          <w:ilvl w:val="0"/>
          <w:numId w:val="17"/>
        </w:numPr>
        <w:ind w:firstLine="1265" w:firstLineChars="600"/>
        <w:rPr>
          <w:rFonts w:hint="eastAsia" w:asciiTheme="minorEastAsia" w:hAnsiTheme="minorEastAsia" w:eastAsiaTheme="minorEastAsia"/>
          <w:b/>
          <w:sz w:val="21"/>
          <w:szCs w:val="21"/>
          <w:lang w:val="zh-CN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数据输入注意事项</w:t>
      </w:r>
      <w:r>
        <w:rPr>
          <w:rFonts w:hint="eastAsia" w:asciiTheme="minorEastAsia" w:hAnsiTheme="minorEastAsia" w:eastAsiaTheme="minorEastAsia"/>
          <w:b/>
          <w:sz w:val="21"/>
          <w:szCs w:val="21"/>
          <w:lang w:val="zh-CN"/>
        </w:rPr>
        <w:t xml:space="preserve">   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/>
          <w:color w:val="FF0000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 xml:space="preserve">           </w:t>
      </w:r>
      <w:r>
        <w:rPr>
          <w:rFonts w:hint="eastAsia" w:asciiTheme="minorEastAsia" w:hAnsiTheme="minorEastAsia" w:eastAsiaTheme="minorEastAsia"/>
          <w:color w:val="FF0000"/>
          <w:sz w:val="21"/>
          <w:szCs w:val="21"/>
        </w:rPr>
        <w:t>电工注册页面中的身份证号码不能重复，此处做了唯一校验，即同一个电工的身份证号码只能使用一次。</w:t>
      </w:r>
    </w:p>
    <w:p>
      <w:pPr>
        <w:numPr>
          <w:ilvl w:val="0"/>
          <w:numId w:val="0"/>
        </w:numPr>
        <w:ind w:leftChars="0"/>
        <w:rPr>
          <w:rFonts w:hint="default" w:asciiTheme="minorEastAsia" w:hAnsiTheme="minorEastAsia" w:eastAsiaTheme="minorEastAsia"/>
          <w:color w:val="FF0000"/>
          <w:sz w:val="21"/>
          <w:szCs w:val="21"/>
          <w:lang w:val="en-US" w:eastAsia="zh-CN"/>
        </w:rPr>
      </w:pPr>
    </w:p>
    <w:p>
      <w:pPr>
        <w:ind w:firstLine="0" w:firstLineChars="0"/>
        <w:jc w:val="center"/>
        <w:rPr>
          <w:rFonts w:ascii="宋体" w:hAnsi="宋体"/>
          <w:sz w:val="21"/>
          <w:szCs w:val="21"/>
        </w:rPr>
      </w:pPr>
      <w:r>
        <w:rPr>
          <w:rFonts w:hint="eastAsia"/>
        </w:rPr>
        <w:t xml:space="preserve"> </w:t>
      </w:r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</w:p>
    <w:p>
      <w:pPr>
        <w:pStyle w:val="4"/>
      </w:pPr>
      <w:r>
        <w:rPr>
          <w:rFonts w:hint="eastAsia"/>
        </w:rPr>
        <w:t>容缺受理</w:t>
      </w:r>
      <w:bookmarkEnd w:id="29"/>
      <w:bookmarkEnd w:id="30"/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未持证企业首次申请许可证或已注销企业再次申请许可证，信用情况良好，且两年内未发生“申请容缺受理，但未按时提交容缺材料”的情况，符合容缺受理要求的企业，可以按照容缺受理流程申请。</w:t>
      </w:r>
    </w:p>
    <w:p>
      <w:pPr>
        <w:ind w:firstLine="0" w:firstLineChars="0"/>
      </w:pPr>
      <w:r>
        <w:drawing>
          <wp:inline distT="0" distB="0" distL="114300" distR="114300">
            <wp:extent cx="6184265" cy="1297305"/>
            <wp:effectExtent l="0" t="0" r="635" b="1079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1297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18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37"/>
        <w:spacing w:line="300" w:lineRule="auto"/>
        <w:ind w:left="934" w:firstLine="0" w:firstLineChars="0"/>
        <w:rPr>
          <w:rFonts w:ascii="宋体" w:hAnsi="宋体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37"/>
        <w:numPr>
          <w:ilvl w:val="0"/>
          <w:numId w:val="18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37"/>
        <w:numPr>
          <w:ilvl w:val="0"/>
          <w:numId w:val="3"/>
        </w:numPr>
        <w:spacing w:line="300" w:lineRule="auto"/>
        <w:ind w:left="839" w:hanging="357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登录系统进入首页后，点击页面下方“承装修试业务许可申请”标题中的“许可证新申请”，系统调用信用能源接口，查企业征信，符合条件企业弹出容缺申请选项。选择容缺申请，将进入容缺申请填报页面；选择一般性申请，将进入正常申请填报页面。如下图所示：</w:t>
      </w:r>
    </w:p>
    <w:p>
      <w:pPr>
        <w:pStyle w:val="37"/>
        <w:spacing w:line="300" w:lineRule="auto"/>
        <w:ind w:firstLine="0" w:firstLineChars="0"/>
        <w:contextualSpacing w:val="0"/>
        <w:jc w:val="center"/>
        <w:rPr>
          <w:rFonts w:ascii="宋体" w:hAnsi="宋体"/>
          <w:sz w:val="21"/>
          <w:szCs w:val="21"/>
        </w:rPr>
      </w:pPr>
      <w:r>
        <w:drawing>
          <wp:inline distT="0" distB="0" distL="0" distR="0">
            <wp:extent cx="3657600" cy="2324100"/>
            <wp:effectExtent l="0" t="0" r="0" b="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57788" cy="232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 xml:space="preserve"> </w:t>
      </w:r>
      <w:bookmarkStart w:id="34" w:name="_Toc43834816"/>
      <w:bookmarkStart w:id="35" w:name="_Toc2867"/>
      <w:r>
        <w:rPr>
          <w:rFonts w:hint="eastAsia"/>
        </w:rPr>
        <w:t>自贸区</w:t>
      </w:r>
      <w:bookmarkEnd w:id="34"/>
      <w:bookmarkEnd w:id="35"/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未持证企业首次申请许可证或已注销企业再次申请许可证，信用情况良好，且是自贸区试点范围内的企业，可以按照自贸区业务办理流程申请。</w:t>
      </w:r>
    </w:p>
    <w:p>
      <w:pPr>
        <w:pStyle w:val="37"/>
        <w:spacing w:line="300" w:lineRule="auto"/>
        <w:ind w:firstLine="0" w:firstLineChars="0"/>
        <w:contextualSpacing w:val="0"/>
        <w:rPr>
          <w:rFonts w:ascii="宋体" w:hAnsi="宋体"/>
          <w:sz w:val="21"/>
          <w:szCs w:val="21"/>
        </w:rPr>
      </w:pPr>
    </w:p>
    <w:p>
      <w:pPr>
        <w:ind w:firstLine="0" w:firstLineChars="0"/>
      </w:pPr>
      <w:r>
        <w:rPr>
          <w:rFonts w:hint="eastAsia"/>
        </w:rPr>
        <w:t>【</w:t>
      </w:r>
      <w:r>
        <w:rPr>
          <w:rFonts w:hint="eastAsia"/>
          <w:b/>
          <w:bCs/>
        </w:rPr>
        <w:t>改革措施</w:t>
      </w:r>
      <w:r>
        <w:rPr>
          <w:rFonts w:hint="eastAsia"/>
        </w:rPr>
        <w:t>】</w:t>
      </w:r>
    </w:p>
    <w:p>
      <w:pPr>
        <w:ind w:firstLine="0" w:firstLineChars="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 xml:space="preserve">1. </w:t>
      </w:r>
      <w:r>
        <w:rPr>
          <w:rFonts w:ascii="宋体" w:hAnsi="宋体" w:cs="宋体"/>
          <w:sz w:val="21"/>
          <w:szCs w:val="21"/>
        </w:rPr>
        <w:t xml:space="preserve">全程网上办理． </w:t>
      </w:r>
    </w:p>
    <w:p>
      <w:pPr>
        <w:numPr>
          <w:ilvl w:val="0"/>
          <w:numId w:val="19"/>
        </w:numPr>
        <w:ind w:firstLine="0" w:firstLineChars="0"/>
        <w:rPr>
          <w:rFonts w:ascii="宋体" w:hAnsi="宋体" w:cs="宋体"/>
          <w:sz w:val="21"/>
          <w:szCs w:val="21"/>
        </w:rPr>
      </w:pPr>
      <w:r>
        <w:rPr>
          <w:rFonts w:ascii="宋体" w:hAnsi="宋体" w:cs="宋体"/>
          <w:sz w:val="21"/>
          <w:szCs w:val="21"/>
        </w:rPr>
        <w:t xml:space="preserve">精简许可条件和申请材料： </w:t>
      </w:r>
    </w:p>
    <w:p>
      <w:pPr>
        <w:ind w:firstLine="420" w:firstLineChars="0"/>
        <w:rPr>
          <w:rFonts w:ascii="宋体" w:hAnsi="宋体" w:cs="宋体"/>
          <w:sz w:val="21"/>
          <w:szCs w:val="21"/>
        </w:rPr>
      </w:pPr>
      <w:r>
        <w:rPr>
          <w:rFonts w:ascii="宋体" w:hAnsi="宋体" w:cs="宋体"/>
          <w:sz w:val="21"/>
          <w:szCs w:val="21"/>
        </w:rPr>
        <w:t>①取消许可条件中对“经营场所”面积的要求。</w:t>
      </w:r>
    </w:p>
    <w:p>
      <w:pPr>
        <w:ind w:firstLine="420" w:firstLineChars="0"/>
        <w:rPr>
          <w:rFonts w:ascii="宋体" w:hAnsi="宋体" w:cs="宋体"/>
          <w:sz w:val="21"/>
          <w:szCs w:val="21"/>
        </w:rPr>
      </w:pPr>
      <w:r>
        <w:rPr>
          <w:rFonts w:ascii="宋体" w:hAnsi="宋体" w:cs="宋体"/>
          <w:sz w:val="21"/>
          <w:szCs w:val="21"/>
        </w:rPr>
        <w:t xml:space="preserve">②取消许可条件中对“持特种作业操作证（电工） 人员”中特种电工（电力电缆作业、继电保护作业、 电气试验作业）数量的要求． </w:t>
      </w:r>
    </w:p>
    <w:p>
      <w:pPr>
        <w:ind w:firstLine="420" w:firstLineChars="0"/>
        <w:rPr>
          <w:rFonts w:ascii="宋体" w:hAnsi="宋体" w:cs="宋体"/>
          <w:sz w:val="21"/>
          <w:szCs w:val="21"/>
        </w:rPr>
      </w:pPr>
      <w:r>
        <w:rPr>
          <w:rFonts w:ascii="宋体" w:hAnsi="宋体" w:cs="宋体"/>
          <w:sz w:val="21"/>
          <w:szCs w:val="21"/>
        </w:rPr>
        <w:t xml:space="preserve">③精简申请材料：不再要求申请人提供法人营业执 照、注册建造师证书复印件，通过部门信息共享或 网络查验获取有关信息． </w:t>
      </w:r>
    </w:p>
    <w:p>
      <w:pPr>
        <w:ind w:firstLine="0" w:firstLineChars="0"/>
        <w:rPr>
          <w:sz w:val="21"/>
          <w:szCs w:val="20"/>
        </w:rPr>
      </w:pPr>
      <w:r>
        <w:rPr>
          <w:rFonts w:ascii="宋体" w:hAnsi="宋体" w:cs="宋体"/>
          <w:sz w:val="21"/>
          <w:szCs w:val="21"/>
        </w:rPr>
        <w:t>3．压减审批时限：审批时限由 20 日压减至 15 日．</w:t>
      </w:r>
    </w:p>
    <w:p>
      <w:pPr>
        <w:pStyle w:val="37"/>
        <w:numPr>
          <w:ilvl w:val="0"/>
          <w:numId w:val="20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37"/>
        <w:numPr>
          <w:ilvl w:val="0"/>
          <w:numId w:val="21"/>
        </w:numPr>
        <w:spacing w:line="300" w:lineRule="auto"/>
        <w:ind w:firstLineChars="0"/>
        <w:rPr>
          <w:rFonts w:ascii="宋体" w:hAnsi="宋体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37"/>
        <w:numPr>
          <w:ilvl w:val="0"/>
          <w:numId w:val="20"/>
        </w:numPr>
        <w:spacing w:line="300" w:lineRule="auto"/>
        <w:ind w:firstLineChars="0"/>
        <w:contextualSpacing w:val="0"/>
        <w:rPr>
          <w:rFonts w:ascii="宋体" w:hAnsi="宋体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操作说</w:t>
      </w:r>
      <w:r>
        <w:rPr>
          <w:rFonts w:ascii="宋体" w:hAnsi="宋体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明</w:t>
      </w:r>
    </w:p>
    <w:p>
      <w:pPr>
        <w:pStyle w:val="37"/>
        <w:numPr>
          <w:ilvl w:val="0"/>
          <w:numId w:val="3"/>
        </w:numPr>
        <w:spacing w:line="300" w:lineRule="auto"/>
        <w:ind w:left="839" w:hanging="357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登录系统进入首页后，点击页面下方“承装修试业务许可申请”标题中的“许可证新申请”，系统调用信用能源接口，查企业征信，符合条件企业弹出提示框，点击确定，进入自贸区申请填报页面，点击取消，将关闭弹框。</w:t>
      </w:r>
    </w:p>
    <w:p>
      <w:pPr>
        <w:ind w:firstLine="0" w:firstLineChars="0"/>
        <w:jc w:val="center"/>
        <w:rPr>
          <w:rFonts w:ascii="宋体" w:hAnsi="宋体"/>
          <w:sz w:val="21"/>
          <w:szCs w:val="21"/>
        </w:rPr>
      </w:pPr>
      <w:r>
        <w:drawing>
          <wp:inline distT="0" distB="0" distL="0" distR="0">
            <wp:extent cx="4152900" cy="1631950"/>
            <wp:effectExtent l="0" t="0" r="0" b="635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53113" cy="163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</w:p>
    <w:p>
      <w:pPr>
        <w:pStyle w:val="3"/>
      </w:pPr>
      <w:bookmarkStart w:id="36" w:name="_Toc25760"/>
      <w:r>
        <w:rPr>
          <w:rFonts w:hint="eastAsia"/>
        </w:rPr>
        <w:t>登记事项变更外网填报</w:t>
      </w:r>
      <w:bookmarkEnd w:id="36"/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承装（修、试）电力设施许可登记事项变更主要是已经取得许可证的企业法人名称、法定代表人、住所等发生变更。许可证号沿用原许可证号，一次可以同时变更多个登记事项。</w:t>
      </w:r>
    </w:p>
    <w:p>
      <w:pPr>
        <w:pStyle w:val="51"/>
        <w:spacing w:line="360" w:lineRule="auto"/>
        <w:ind w:left="480" w:leftChars="200" w:right="120" w:rightChars="50" w:firstLine="0" w:firstLineChars="0"/>
        <w:rPr>
          <w:szCs w:val="21"/>
        </w:rPr>
      </w:pPr>
      <w:r>
        <w:rPr>
          <w:rFonts w:hint="eastAsia" w:cs="Times New Roman" w:asciiTheme="minorEastAsia" w:hAnsiTheme="minorEastAsia" w:eastAsiaTheme="minorEastAsia"/>
          <w:b/>
          <w:szCs w:val="21"/>
        </w:rPr>
        <w:t>用户：</w:t>
      </w:r>
      <w:r>
        <w:rPr>
          <w:rFonts w:hint="eastAsia"/>
          <w:szCs w:val="21"/>
        </w:rPr>
        <w:t>新申请审批通过，取得许可证号的企业。</w:t>
      </w:r>
    </w:p>
    <w:p>
      <w:pPr>
        <w:pStyle w:val="4"/>
      </w:pPr>
      <w:bookmarkStart w:id="37" w:name="_Toc28609"/>
      <w:r>
        <w:rPr>
          <w:rFonts w:hint="eastAsia"/>
        </w:rPr>
        <w:t>基本情况</w:t>
      </w:r>
      <w:bookmarkEnd w:id="37"/>
    </w:p>
    <w:p>
      <w:pPr>
        <w:ind w:firstLine="420"/>
        <w:rPr>
          <w:rFonts w:asciiTheme="minorEastAsia" w:hAnsiTheme="minorEastAsia" w:eastAsiaTheme="minorEastAsia"/>
          <w:sz w:val="21"/>
          <w:szCs w:val="21"/>
          <w:lang w:val="zh-CN"/>
        </w:rPr>
      </w:pP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企业用户登录系统，点击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/>
          <w:b/>
          <w:bCs/>
          <w:sz w:val="21"/>
          <w:szCs w:val="21"/>
        </w:rPr>
        <w:t>承装（修、试）业务</w:t>
      </w:r>
      <w:r>
        <w:rPr>
          <w:rFonts w:hint="eastAsia" w:ascii="宋体" w:hAnsi="宋体"/>
          <w:b/>
          <w:sz w:val="21"/>
          <w:szCs w:val="21"/>
        </w:rPr>
        <w:t>许可申请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-‘</w:t>
      </w:r>
      <w:r>
        <w:rPr>
          <w:rFonts w:hint="eastAsia" w:asciiTheme="minorEastAsia" w:hAnsiTheme="minorEastAsia" w:eastAsiaTheme="minorEastAsia"/>
          <w:b/>
          <w:sz w:val="21"/>
          <w:szCs w:val="21"/>
          <w:lang w:val="zh-CN"/>
        </w:rPr>
        <w:t>登记事项变更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’-‘</w:t>
      </w:r>
      <w:r>
        <w:rPr>
          <w:rFonts w:hint="eastAsia" w:asciiTheme="minorEastAsia" w:hAnsiTheme="minorEastAsia" w:eastAsiaTheme="minorEastAsia"/>
          <w:b/>
          <w:sz w:val="21"/>
          <w:szCs w:val="21"/>
          <w:lang w:val="zh-CN"/>
        </w:rPr>
        <w:t>基本情况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’链接，页面打开后显示如下图：</w:t>
      </w:r>
    </w:p>
    <w:p>
      <w:pPr>
        <w:ind w:firstLine="0" w:firstLineChars="0"/>
        <w:rPr>
          <w:lang w:val="zh-CN"/>
        </w:rPr>
      </w:pPr>
      <w:r>
        <w:drawing>
          <wp:inline distT="0" distB="0" distL="114300" distR="114300">
            <wp:extent cx="6179185" cy="3468370"/>
            <wp:effectExtent l="0" t="0" r="5715" b="11430"/>
            <wp:docPr id="5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843" w:firstLineChars="400"/>
        <w:rPr>
          <w:b/>
          <w:sz w:val="21"/>
          <w:szCs w:val="21"/>
          <w:lang w:val="zh-CN"/>
        </w:rPr>
      </w:pPr>
      <w:r>
        <w:rPr>
          <w:rFonts w:hint="eastAsia"/>
          <w:b/>
          <w:sz w:val="21"/>
          <w:szCs w:val="21"/>
          <w:lang w:val="zh-CN"/>
        </w:rPr>
        <w:t>（1）操作说明</w:t>
      </w:r>
    </w:p>
    <w:p>
      <w:pPr>
        <w:numPr>
          <w:ilvl w:val="0"/>
          <w:numId w:val="22"/>
        </w:numPr>
        <w:ind w:left="0" w:firstLine="1134" w:firstLineChars="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【保存】保存当前界面中已输入、选择和上传的信息</w:t>
      </w:r>
    </w:p>
    <w:p>
      <w:pPr>
        <w:numPr>
          <w:ilvl w:val="0"/>
          <w:numId w:val="22"/>
        </w:numPr>
        <w:ind w:left="0" w:firstLine="1134" w:firstLineChars="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【选取文件】浏览本地文件</w:t>
      </w:r>
    </w:p>
    <w:p>
      <w:pPr>
        <w:numPr>
          <w:ilvl w:val="0"/>
          <w:numId w:val="22"/>
        </w:numPr>
        <w:ind w:left="0" w:firstLine="1134" w:firstLineChars="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【上传】上传本地文件至系统</w:t>
      </w:r>
    </w:p>
    <w:p>
      <w:pPr>
        <w:ind w:firstLine="843" w:firstLineChars="400"/>
        <w:rPr>
          <w:b/>
          <w:sz w:val="21"/>
          <w:szCs w:val="21"/>
          <w:lang w:val="zh-CN"/>
        </w:rPr>
      </w:pPr>
      <w:r>
        <w:rPr>
          <w:rFonts w:hint="eastAsia"/>
          <w:b/>
          <w:sz w:val="21"/>
          <w:szCs w:val="21"/>
          <w:lang w:val="zh-CN"/>
        </w:rPr>
        <w:t>（2）数据输入注意事项</w:t>
      </w:r>
    </w:p>
    <w:p>
      <w:pPr>
        <w:pStyle w:val="37"/>
        <w:numPr>
          <w:ilvl w:val="0"/>
          <w:numId w:val="23"/>
        </w:numPr>
        <w:ind w:firstLine="42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申请信息区域中的单位名称、法人执照（证书）编号、申请性质、原许可证号、原申请类别和等级、通讯地址、邮政编码均取值于新申请，且该部分数据不支持编辑。</w:t>
      </w:r>
    </w:p>
    <w:p>
      <w:pPr>
        <w:pStyle w:val="37"/>
        <w:numPr>
          <w:ilvl w:val="0"/>
          <w:numId w:val="23"/>
        </w:numPr>
        <w:ind w:firstLine="42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身份证号码处必须输入正确的身份证号码</w:t>
      </w:r>
    </w:p>
    <w:p>
      <w:pPr>
        <w:pStyle w:val="4"/>
      </w:pPr>
      <w:bookmarkStart w:id="38" w:name="_Toc11606"/>
      <w:r>
        <w:rPr>
          <w:rFonts w:hint="eastAsia"/>
        </w:rPr>
        <w:t>申请变更内容界面</w:t>
      </w:r>
      <w:bookmarkEnd w:id="38"/>
    </w:p>
    <w:p>
      <w:pPr>
        <w:ind w:firstLine="42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企业用户登录系统后，点击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/>
          <w:sz w:val="21"/>
          <w:szCs w:val="21"/>
          <w:lang w:val="zh-CN"/>
        </w:rPr>
        <w:t>-‘</w:t>
      </w:r>
      <w:r>
        <w:rPr>
          <w:rFonts w:hint="eastAsia" w:asciiTheme="minorEastAsia" w:hAnsiTheme="minorEastAsia" w:eastAsiaTheme="minorEastAsia"/>
          <w:b/>
          <w:sz w:val="21"/>
          <w:szCs w:val="21"/>
          <w:lang w:val="zh-CN"/>
        </w:rPr>
        <w:t>登记事项变更</w:t>
      </w:r>
      <w:r>
        <w:rPr>
          <w:rFonts w:hint="eastAsia"/>
          <w:sz w:val="21"/>
          <w:szCs w:val="21"/>
          <w:lang w:val="zh-CN"/>
        </w:rPr>
        <w:t>’-‘</w:t>
      </w:r>
      <w:r>
        <w:rPr>
          <w:rFonts w:hint="eastAsia" w:asciiTheme="minorEastAsia" w:hAnsiTheme="minorEastAsia" w:eastAsiaTheme="minorEastAsia"/>
          <w:b/>
          <w:sz w:val="21"/>
          <w:szCs w:val="21"/>
          <w:lang w:val="zh-CN"/>
        </w:rPr>
        <w:t>申请变更内容</w:t>
      </w:r>
      <w:r>
        <w:rPr>
          <w:rFonts w:hint="eastAsia"/>
          <w:sz w:val="21"/>
          <w:szCs w:val="21"/>
          <w:lang w:val="zh-CN"/>
        </w:rPr>
        <w:t>’链接，页面显示如下图所示：</w:t>
      </w:r>
    </w:p>
    <w:p>
      <w:pPr>
        <w:ind w:firstLine="0" w:firstLineChars="0"/>
        <w:rPr>
          <w:sz w:val="21"/>
          <w:szCs w:val="21"/>
          <w:lang w:val="zh-CN"/>
        </w:rPr>
      </w:pPr>
      <w:r>
        <w:drawing>
          <wp:inline distT="0" distB="0" distL="114300" distR="114300">
            <wp:extent cx="6181725" cy="3348990"/>
            <wp:effectExtent l="0" t="0" r="3175" b="3810"/>
            <wp:docPr id="17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b/>
          <w:sz w:val="21"/>
          <w:szCs w:val="21"/>
          <w:lang w:val="zh-CN"/>
        </w:rPr>
      </w:pPr>
      <w:r>
        <w:rPr>
          <w:rFonts w:hint="eastAsia"/>
          <w:b/>
          <w:sz w:val="21"/>
          <w:szCs w:val="21"/>
          <w:lang w:val="zh-CN"/>
        </w:rPr>
        <w:t>（1）操作说明</w:t>
      </w:r>
    </w:p>
    <w:p>
      <w:pPr>
        <w:ind w:firstLine="42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【保存】保存当前页面中已输入的信息</w:t>
      </w:r>
    </w:p>
    <w:p>
      <w:pPr>
        <w:ind w:firstLine="422"/>
        <w:rPr>
          <w:b/>
          <w:sz w:val="21"/>
          <w:szCs w:val="21"/>
          <w:lang w:val="zh-CN"/>
        </w:rPr>
      </w:pPr>
      <w:r>
        <w:rPr>
          <w:rFonts w:hint="eastAsia"/>
          <w:b/>
          <w:sz w:val="21"/>
          <w:szCs w:val="21"/>
          <w:lang w:val="zh-CN"/>
        </w:rPr>
        <w:t>（2）数据输入注意事项</w:t>
      </w:r>
    </w:p>
    <w:p>
      <w:pPr>
        <w:ind w:firstLine="42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身份证号码必须输入合法，且此处填写完毕保存后。数据提交至内网经过审批通过后，再次进入外网，均按照本页面修改的数据展示。</w:t>
      </w:r>
    </w:p>
    <w:p>
      <w:pPr>
        <w:ind w:firstLine="42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</w:rPr>
        <w:t xml:space="preserve"> 登记事项变更变更前数据是从系统带过来的，不能修改；变更后的是系统带过来的，需要变更的就修改，不需要变更的就不用修改。</w:t>
      </w:r>
    </w:p>
    <w:p>
      <w:pPr>
        <w:pStyle w:val="4"/>
      </w:pPr>
      <w:bookmarkStart w:id="39" w:name="_Toc10266"/>
      <w:r>
        <w:rPr>
          <w:rFonts w:hint="eastAsia"/>
        </w:rPr>
        <w:t>申请附件及明细界面</w:t>
      </w:r>
      <w:bookmarkEnd w:id="39"/>
    </w:p>
    <w:p>
      <w:pPr>
        <w:ind w:firstLine="42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企业用户登录系统，点击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/>
          <w:sz w:val="21"/>
          <w:szCs w:val="21"/>
          <w:lang w:val="zh-CN"/>
        </w:rPr>
        <w:t>-‘</w:t>
      </w:r>
      <w:r>
        <w:rPr>
          <w:rFonts w:hint="eastAsia" w:asciiTheme="minorEastAsia" w:hAnsiTheme="minorEastAsia" w:eastAsiaTheme="minorEastAsia"/>
          <w:b/>
          <w:sz w:val="21"/>
          <w:szCs w:val="21"/>
          <w:lang w:val="zh-CN"/>
        </w:rPr>
        <w:t>登记事项变更</w:t>
      </w:r>
      <w:r>
        <w:rPr>
          <w:rFonts w:hint="eastAsia"/>
          <w:sz w:val="21"/>
          <w:szCs w:val="21"/>
          <w:lang w:val="zh-CN"/>
        </w:rPr>
        <w:t>’-‘</w:t>
      </w:r>
      <w:r>
        <w:rPr>
          <w:rFonts w:hint="eastAsia" w:asciiTheme="minorEastAsia" w:hAnsiTheme="minorEastAsia" w:eastAsiaTheme="minorEastAsia"/>
          <w:b/>
          <w:sz w:val="21"/>
          <w:szCs w:val="21"/>
          <w:lang w:val="zh-CN"/>
        </w:rPr>
        <w:t>申请附件及明细</w:t>
      </w:r>
      <w:r>
        <w:rPr>
          <w:rFonts w:hint="eastAsia"/>
          <w:sz w:val="21"/>
          <w:szCs w:val="21"/>
          <w:lang w:val="zh-CN"/>
        </w:rPr>
        <w:t>’链接，或在‘</w:t>
      </w:r>
      <w:r>
        <w:rPr>
          <w:rFonts w:hint="eastAsia" w:asciiTheme="minorEastAsia" w:hAnsiTheme="minorEastAsia" w:eastAsiaTheme="minorEastAsia"/>
          <w:b/>
          <w:sz w:val="21"/>
          <w:szCs w:val="21"/>
          <w:lang w:val="zh-CN"/>
        </w:rPr>
        <w:t>申请变更内容</w:t>
      </w:r>
      <w:r>
        <w:rPr>
          <w:rFonts w:hint="eastAsia"/>
          <w:sz w:val="21"/>
          <w:szCs w:val="21"/>
          <w:lang w:val="zh-CN"/>
        </w:rPr>
        <w:t>’界面点击下一步按钮，页面如下图显示：</w:t>
      </w:r>
    </w:p>
    <w:p>
      <w:pPr>
        <w:ind w:firstLine="0" w:firstLineChars="0"/>
        <w:rPr>
          <w:sz w:val="21"/>
          <w:szCs w:val="21"/>
          <w:lang w:val="zh-CN"/>
        </w:rPr>
      </w:pPr>
      <w:r>
        <w:drawing>
          <wp:inline distT="0" distB="0" distL="114300" distR="114300">
            <wp:extent cx="6179820" cy="2433955"/>
            <wp:effectExtent l="0" t="0" r="11430" b="4445"/>
            <wp:docPr id="8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843" w:firstLineChars="400"/>
        <w:rPr>
          <w:b/>
          <w:sz w:val="21"/>
          <w:szCs w:val="21"/>
          <w:lang w:val="zh-CN"/>
        </w:rPr>
      </w:pPr>
      <w:r>
        <w:rPr>
          <w:rFonts w:hint="eastAsia"/>
          <w:b/>
          <w:sz w:val="21"/>
          <w:szCs w:val="21"/>
          <w:lang w:val="zh-CN"/>
        </w:rPr>
        <w:t>（1）操作步骤</w:t>
      </w:r>
    </w:p>
    <w:p>
      <w:pPr>
        <w:numPr>
          <w:ilvl w:val="0"/>
          <w:numId w:val="24"/>
        </w:numPr>
        <w:ind w:left="0" w:firstLine="1134" w:firstLineChars="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【保存】保存当前页面中上传的附件信息</w:t>
      </w:r>
    </w:p>
    <w:p>
      <w:pPr>
        <w:numPr>
          <w:ilvl w:val="0"/>
          <w:numId w:val="24"/>
        </w:numPr>
        <w:ind w:left="0" w:firstLine="1134" w:firstLineChars="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【提交】信息输入完整后，点提交执行内网审批流程</w:t>
      </w:r>
    </w:p>
    <w:p>
      <w:pPr>
        <w:numPr>
          <w:ilvl w:val="0"/>
          <w:numId w:val="24"/>
        </w:numPr>
        <w:ind w:left="0" w:firstLine="1134" w:firstLineChars="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【选取文件】浏览本地文件</w:t>
      </w:r>
    </w:p>
    <w:p>
      <w:pPr>
        <w:numPr>
          <w:ilvl w:val="0"/>
          <w:numId w:val="24"/>
        </w:numPr>
        <w:ind w:left="0" w:firstLine="1134" w:firstLineChars="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【上传】上传本地文件至系统</w:t>
      </w:r>
    </w:p>
    <w:p>
      <w:pPr>
        <w:ind w:firstLine="843" w:firstLineChars="400"/>
        <w:rPr>
          <w:b/>
          <w:sz w:val="21"/>
          <w:szCs w:val="21"/>
          <w:lang w:val="zh-CN"/>
        </w:rPr>
      </w:pPr>
      <w:r>
        <w:rPr>
          <w:rFonts w:hint="eastAsia"/>
          <w:b/>
          <w:sz w:val="21"/>
          <w:szCs w:val="21"/>
          <w:lang w:val="zh-CN"/>
        </w:rPr>
        <w:t>（2）数据输入注意事项</w:t>
      </w:r>
    </w:p>
    <w:p>
      <w:pPr>
        <w:ind w:firstLine="1680" w:firstLineChars="8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无</w:t>
      </w:r>
    </w:p>
    <w:p>
      <w:pPr>
        <w:pStyle w:val="4"/>
      </w:pPr>
      <w:bookmarkStart w:id="40" w:name="_Toc43834824"/>
      <w:bookmarkStart w:id="41" w:name="_Toc27635"/>
      <w:r>
        <w:rPr>
          <w:rFonts w:hint="eastAsia"/>
        </w:rPr>
        <w:t>自贸区</w:t>
      </w:r>
      <w:bookmarkEnd w:id="40"/>
      <w:bookmarkEnd w:id="41"/>
    </w:p>
    <w:p>
      <w:pPr>
        <w:ind w:firstLine="420"/>
        <w:rPr>
          <w:rFonts w:ascii="宋体" w:hAnsi="宋体"/>
          <w:szCs w:val="21"/>
        </w:rPr>
      </w:pPr>
      <w:r>
        <w:rPr>
          <w:rFonts w:hint="eastAsia"/>
          <w:sz w:val="21"/>
          <w:szCs w:val="21"/>
        </w:rPr>
        <w:t>持证企业信用情况良好，且是自贸区试点范围内的企业，可以按照自贸区业务办理流程申请。</w:t>
      </w:r>
    </w:p>
    <w:p>
      <w:pPr>
        <w:ind w:firstLine="0" w:firstLineChars="0"/>
      </w:pPr>
      <w:r>
        <w:rPr>
          <w:rFonts w:hint="eastAsia"/>
        </w:rPr>
        <w:t>【</w:t>
      </w:r>
      <w:r>
        <w:rPr>
          <w:rFonts w:hint="eastAsia"/>
          <w:b/>
          <w:bCs/>
        </w:rPr>
        <w:t>改革措施</w:t>
      </w:r>
      <w:r>
        <w:rPr>
          <w:rFonts w:hint="eastAsia"/>
        </w:rPr>
        <w:t>】</w:t>
      </w:r>
    </w:p>
    <w:p>
      <w:pPr>
        <w:numPr>
          <w:ilvl w:val="0"/>
          <w:numId w:val="25"/>
        </w:numPr>
        <w:ind w:firstLine="0" w:firstLineChars="0"/>
        <w:rPr>
          <w:rFonts w:ascii="宋体" w:hAnsi="宋体" w:cs="宋体"/>
          <w:sz w:val="21"/>
          <w:szCs w:val="21"/>
        </w:rPr>
      </w:pPr>
      <w:r>
        <w:rPr>
          <w:rFonts w:ascii="宋体" w:hAnsi="宋体" w:cs="宋体"/>
          <w:sz w:val="21"/>
          <w:szCs w:val="21"/>
        </w:rPr>
        <w:t>全程网上办理．</w:t>
      </w:r>
    </w:p>
    <w:p>
      <w:pPr>
        <w:numPr>
          <w:ilvl w:val="0"/>
          <w:numId w:val="25"/>
        </w:numPr>
        <w:ind w:firstLine="0" w:firstLineChars="0"/>
        <w:rPr>
          <w:sz w:val="21"/>
          <w:szCs w:val="20"/>
        </w:rPr>
      </w:pPr>
      <w:r>
        <w:rPr>
          <w:rFonts w:ascii="宋体" w:hAnsi="宋体" w:cs="宋体"/>
          <w:sz w:val="21"/>
          <w:szCs w:val="21"/>
        </w:rPr>
        <w:t>精简申请材料：不再要求申请人提供法人营业执 照、许可证原件，通过部门信息共享或网络查验获 取有关信息．</w:t>
      </w:r>
    </w:p>
    <w:p>
      <w:pPr>
        <w:numPr>
          <w:ilvl w:val="0"/>
          <w:numId w:val="25"/>
        </w:numPr>
        <w:ind w:firstLine="0" w:firstLineChars="0"/>
        <w:rPr>
          <w:sz w:val="21"/>
          <w:szCs w:val="20"/>
        </w:rPr>
      </w:pPr>
      <w:r>
        <w:rPr>
          <w:rFonts w:ascii="宋体" w:hAnsi="宋体" w:cs="宋体"/>
          <w:sz w:val="21"/>
          <w:szCs w:val="21"/>
        </w:rPr>
        <w:t>压减审批时限：审批时限由 15 日压减至 10 日， 不需经行政许可委员会审议，采用由派出能源监管 机构负责人直接签批方式办理。</w:t>
      </w:r>
    </w:p>
    <w:p>
      <w:pPr>
        <w:pStyle w:val="37"/>
        <w:numPr>
          <w:ilvl w:val="0"/>
          <w:numId w:val="26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37"/>
        <w:spacing w:line="300" w:lineRule="auto"/>
        <w:ind w:left="934" w:firstLine="0" w:firstLineChars="0"/>
        <w:rPr>
          <w:rFonts w:ascii="宋体" w:hAnsi="宋体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37"/>
        <w:numPr>
          <w:ilvl w:val="0"/>
          <w:numId w:val="26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37"/>
        <w:numPr>
          <w:ilvl w:val="0"/>
          <w:numId w:val="3"/>
        </w:numPr>
        <w:spacing w:line="300" w:lineRule="auto"/>
        <w:ind w:left="839" w:hanging="357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登录系统进入首页后，点击页面下方“承装修试业务许可申请”标题中的“登记事项变更申请”，系统调用信用能源接口，查企业征信，符合条件企业弹出提示框，点击确定，进入自贸区申请填报页面，点击取消，将关闭弹框。</w:t>
      </w:r>
    </w:p>
    <w:p>
      <w:pPr>
        <w:ind w:firstLine="0" w:firstLineChars="0"/>
        <w:jc w:val="center"/>
        <w:rPr>
          <w:rFonts w:ascii="宋体" w:hAnsi="宋体"/>
          <w:sz w:val="21"/>
          <w:szCs w:val="21"/>
        </w:rPr>
      </w:pPr>
      <w:r>
        <w:drawing>
          <wp:inline distT="0" distB="0" distL="0" distR="0">
            <wp:extent cx="4152900" cy="1631950"/>
            <wp:effectExtent l="0" t="0" r="0" b="6350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5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53113" cy="163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80" w:firstLineChars="800"/>
        <w:rPr>
          <w:sz w:val="21"/>
          <w:szCs w:val="21"/>
          <w:lang w:val="zh-CN"/>
        </w:rPr>
      </w:pPr>
    </w:p>
    <w:p>
      <w:pPr>
        <w:pStyle w:val="3"/>
      </w:pPr>
      <w:bookmarkStart w:id="42" w:name="_Toc22508"/>
      <w:r>
        <w:rPr>
          <w:rFonts w:hint="eastAsia"/>
        </w:rPr>
        <w:t>许可事项变更外网填报</w:t>
      </w:r>
      <w:bookmarkEnd w:id="42"/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承装（修、试）电力设施许可事项变更主要适用于已经获得承装（修、试）电力设施许可证的企业。主要为企业申请变更许可的类别和等级。流程和新申请相同。许可证号沿用原许可证号，证书发证时间为当前发证时间，证件有效期与原证件有效期相同。</w:t>
      </w:r>
    </w:p>
    <w:p>
      <w:pPr>
        <w:pStyle w:val="4"/>
      </w:pPr>
      <w:bookmarkStart w:id="43" w:name="_Toc12710"/>
      <w:r>
        <w:rPr>
          <w:rFonts w:hint="eastAsia"/>
        </w:rPr>
        <w:t>申请信息界面</w:t>
      </w:r>
      <w:bookmarkEnd w:id="43"/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承装（修、试）许可事项变更填报信息同承装（修、试）许可新申请。</w:t>
      </w:r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企业用户登录系统后，点击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/>
          <w:sz w:val="21"/>
          <w:szCs w:val="21"/>
        </w:rPr>
        <w:t>-‘</w:t>
      </w:r>
      <w:r>
        <w:rPr>
          <w:rFonts w:hint="eastAsia"/>
          <w:b/>
          <w:sz w:val="21"/>
          <w:szCs w:val="21"/>
        </w:rPr>
        <w:t>许可事项变更</w:t>
      </w:r>
      <w:r>
        <w:rPr>
          <w:rFonts w:hint="eastAsia"/>
          <w:sz w:val="21"/>
          <w:szCs w:val="21"/>
        </w:rPr>
        <w:t>’链接，页面显示如下图所示：</w:t>
      </w:r>
    </w:p>
    <w:p>
      <w:pPr>
        <w:ind w:firstLine="0" w:firstLineChars="0"/>
      </w:pPr>
      <w:r>
        <w:drawing>
          <wp:inline distT="0" distB="0" distL="114300" distR="114300">
            <wp:extent cx="6186170" cy="3446145"/>
            <wp:effectExtent l="0" t="0" r="11430" b="8255"/>
            <wp:docPr id="18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6182995" cy="745490"/>
            <wp:effectExtent l="0" t="0" r="1905" b="3810"/>
            <wp:docPr id="5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32" w:firstLineChars="300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（1）操作说明</w:t>
      </w:r>
    </w:p>
    <w:p>
      <w:pPr>
        <w:ind w:firstLine="1050" w:firstLineChars="500"/>
        <w:rPr>
          <w:sz w:val="21"/>
          <w:szCs w:val="21"/>
        </w:rPr>
      </w:pPr>
      <w:r>
        <w:rPr>
          <w:rFonts w:hint="eastAsia"/>
          <w:sz w:val="21"/>
          <w:szCs w:val="21"/>
        </w:rPr>
        <w:t>【下一步】页面跳转至基本情况填报界面</w:t>
      </w:r>
    </w:p>
    <w:p>
      <w:pPr>
        <w:ind w:firstLine="632" w:firstLineChars="300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（2）数据输入注意事项</w:t>
      </w:r>
    </w:p>
    <w:p>
      <w:pPr>
        <w:ind w:firstLine="630" w:firstLineChars="300"/>
        <w:rPr>
          <w:sz w:val="21"/>
          <w:szCs w:val="21"/>
        </w:rPr>
      </w:pPr>
      <w:r>
        <w:rPr>
          <w:rFonts w:hint="eastAsia"/>
          <w:sz w:val="21"/>
          <w:szCs w:val="21"/>
        </w:rPr>
        <w:t>此页面中自动显示原许可证号码、原许可证类别和等级信息且不支持修改，</w:t>
      </w:r>
    </w:p>
    <w:p>
      <w:pPr>
        <w:pStyle w:val="4"/>
      </w:pPr>
      <w:bookmarkStart w:id="44" w:name="_Toc16119"/>
      <w:r>
        <w:rPr>
          <w:rFonts w:hint="eastAsia"/>
        </w:rPr>
        <w:t>基本情况界面</w:t>
      </w:r>
      <w:bookmarkEnd w:id="44"/>
    </w:p>
    <w:p>
      <w:pPr>
        <w:ind w:firstLine="42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1"/>
          <w:szCs w:val="21"/>
        </w:rPr>
        <w:t>企业用户登录系统，点击系统首页“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”-“</w:t>
      </w:r>
      <w:r>
        <w:rPr>
          <w:rFonts w:hint="eastAsia" w:ascii="宋体" w:hAnsi="宋体"/>
          <w:b/>
          <w:sz w:val="21"/>
          <w:szCs w:val="21"/>
        </w:rPr>
        <w:t>许可事项变更</w:t>
      </w:r>
      <w:r>
        <w:rPr>
          <w:rFonts w:hint="eastAsia" w:ascii="宋体" w:hAnsi="宋体"/>
          <w:sz w:val="21"/>
          <w:szCs w:val="21"/>
        </w:rPr>
        <w:t>”，完成“</w:t>
      </w:r>
      <w:r>
        <w:rPr>
          <w:rFonts w:hint="eastAsia" w:ascii="宋体" w:hAnsi="宋体"/>
          <w:b/>
          <w:sz w:val="21"/>
          <w:szCs w:val="21"/>
        </w:rPr>
        <w:t>申请</w:t>
      </w:r>
      <w:r>
        <w:rPr>
          <w:rFonts w:ascii="宋体" w:hAnsi="宋体"/>
          <w:b/>
          <w:sz w:val="21"/>
          <w:szCs w:val="21"/>
        </w:rPr>
        <w:t>类别</w:t>
      </w:r>
      <w:r>
        <w:rPr>
          <w:rFonts w:ascii="宋体" w:hAnsi="宋体"/>
          <w:sz w:val="21"/>
          <w:szCs w:val="21"/>
        </w:rPr>
        <w:t>”-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上传法人信息附件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ascii="宋体" w:hAnsi="宋体"/>
          <w:sz w:val="21"/>
          <w:szCs w:val="21"/>
        </w:rPr>
        <w:t>点击下一步</w:t>
      </w:r>
      <w:r>
        <w:rPr>
          <w:rFonts w:hint="eastAsia" w:ascii="宋体" w:hAnsi="宋体"/>
          <w:sz w:val="21"/>
          <w:szCs w:val="21"/>
        </w:rPr>
        <w:t>进入基本</w:t>
      </w:r>
      <w:r>
        <w:rPr>
          <w:rFonts w:ascii="宋体" w:hAnsi="宋体"/>
          <w:sz w:val="21"/>
          <w:szCs w:val="21"/>
        </w:rPr>
        <w:t>情况填报</w:t>
      </w:r>
      <w:r>
        <w:rPr>
          <w:rFonts w:hint="eastAsia" w:ascii="宋体" w:hAnsi="宋体"/>
          <w:sz w:val="21"/>
          <w:szCs w:val="21"/>
        </w:rPr>
        <w:t>页面如</w:t>
      </w:r>
      <w:r>
        <w:rPr>
          <w:rFonts w:ascii="宋体" w:hAnsi="宋体"/>
          <w:sz w:val="21"/>
          <w:szCs w:val="21"/>
        </w:rPr>
        <w:t>下</w:t>
      </w:r>
      <w:r>
        <w:rPr>
          <w:rFonts w:hint="eastAsia" w:ascii="宋体" w:hAnsi="宋体"/>
          <w:sz w:val="21"/>
          <w:szCs w:val="21"/>
        </w:rPr>
        <w:t>:</w:t>
      </w:r>
    </w:p>
    <w:p>
      <w:pPr>
        <w:adjustRightInd w:val="0"/>
        <w:snapToGrid w:val="0"/>
        <w:ind w:firstLine="0" w:firstLineChars="0"/>
        <w:contextualSpacing w:val="0"/>
      </w:pPr>
      <w:r>
        <w:drawing>
          <wp:inline distT="0" distB="0" distL="114300" distR="114300">
            <wp:extent cx="6185535" cy="5139055"/>
            <wp:effectExtent l="0" t="0" r="5715" b="4445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513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0" w:firstLineChars="0"/>
        <w:contextualSpacing w:val="0"/>
      </w:pPr>
      <w:r>
        <w:drawing>
          <wp:inline distT="0" distB="0" distL="114300" distR="114300">
            <wp:extent cx="6182995" cy="2159000"/>
            <wp:effectExtent l="0" t="0" r="8255" b="12700"/>
            <wp:docPr id="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27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【保存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输入申请人</w:t>
      </w:r>
      <w:r>
        <w:rPr>
          <w:rFonts w:ascii="宋体" w:hAnsi="宋体"/>
          <w:sz w:val="21"/>
          <w:szCs w:val="21"/>
        </w:rPr>
        <w:t>基本</w:t>
      </w:r>
      <w:r>
        <w:rPr>
          <w:rFonts w:hint="eastAsia" w:ascii="宋体" w:hAnsi="宋体"/>
          <w:sz w:val="21"/>
          <w:szCs w:val="21"/>
        </w:rPr>
        <w:t>情况，</w:t>
      </w:r>
      <w:r>
        <w:rPr>
          <w:rFonts w:ascii="宋体" w:hAnsi="宋体"/>
          <w:sz w:val="21"/>
          <w:szCs w:val="21"/>
        </w:rPr>
        <w:t>上传附件信息</w:t>
      </w:r>
      <w:r>
        <w:rPr>
          <w:rFonts w:hint="eastAsia" w:ascii="宋体" w:hAnsi="宋体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保存当前页面信息</w:t>
      </w:r>
      <w:r>
        <w:rPr>
          <w:rFonts w:hint="eastAsia" w:ascii="宋体" w:hAnsi="宋体"/>
          <w:sz w:val="21"/>
          <w:szCs w:val="21"/>
        </w:rPr>
        <w:t>并</w:t>
      </w:r>
      <w:r>
        <w:rPr>
          <w:rFonts w:ascii="宋体" w:hAnsi="宋体"/>
          <w:sz w:val="21"/>
          <w:szCs w:val="21"/>
        </w:rPr>
        <w:t>停留在当前页面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【选取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浏览本地</w:t>
      </w:r>
      <w:r>
        <w:rPr>
          <w:rFonts w:ascii="宋体" w:hAnsi="宋体"/>
          <w:sz w:val="21"/>
          <w:szCs w:val="21"/>
        </w:rPr>
        <w:t>附件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【上传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将</w:t>
      </w:r>
      <w:r>
        <w:rPr>
          <w:rFonts w:ascii="宋体" w:hAnsi="宋体"/>
          <w:sz w:val="21"/>
          <w:szCs w:val="21"/>
        </w:rPr>
        <w:t>本地附件上传到系统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【其他页签</w:t>
      </w:r>
      <w:r>
        <w:rPr>
          <w:rFonts w:ascii="宋体" w:hAnsi="宋体"/>
          <w:sz w:val="21"/>
          <w:szCs w:val="21"/>
        </w:rPr>
        <w:t>】点击</w:t>
      </w:r>
      <w:r>
        <w:rPr>
          <w:rFonts w:hint="eastAsia" w:ascii="宋体" w:hAnsi="宋体"/>
          <w:sz w:val="21"/>
          <w:szCs w:val="21"/>
        </w:rPr>
        <w:t>“</w:t>
      </w:r>
      <w:r>
        <w:rPr>
          <w:rFonts w:hint="eastAsia" w:ascii="宋体" w:hAnsi="宋体"/>
          <w:b/>
          <w:sz w:val="21"/>
          <w:szCs w:val="21"/>
        </w:rPr>
        <w:t>基本情况</w:t>
      </w:r>
      <w:r>
        <w:rPr>
          <w:rFonts w:ascii="宋体" w:hAnsi="宋体"/>
          <w:sz w:val="21"/>
          <w:szCs w:val="21"/>
        </w:rPr>
        <w:t>”</w:t>
      </w:r>
      <w:r>
        <w:rPr>
          <w:rFonts w:hint="eastAsia" w:ascii="宋体" w:hAnsi="宋体"/>
          <w:sz w:val="21"/>
          <w:szCs w:val="21"/>
        </w:rPr>
        <w:t>以外</w:t>
      </w:r>
      <w:r>
        <w:rPr>
          <w:rFonts w:ascii="宋体" w:hAnsi="宋体"/>
          <w:sz w:val="21"/>
          <w:szCs w:val="21"/>
        </w:rPr>
        <w:t>的其他页签</w:t>
      </w:r>
      <w:r>
        <w:rPr>
          <w:rFonts w:hint="eastAsia" w:ascii="宋体" w:hAnsi="宋体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放弃当前页面操作，进入其他信息填报界面</w:t>
      </w:r>
    </w:p>
    <w:p>
      <w:pPr>
        <w:pStyle w:val="37"/>
        <w:numPr>
          <w:ilvl w:val="0"/>
          <w:numId w:val="27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申请人基本</w:t>
      </w:r>
      <w:r>
        <w:rPr>
          <w:rFonts w:ascii="宋体" w:hAnsi="宋体"/>
          <w:sz w:val="21"/>
          <w:szCs w:val="21"/>
        </w:rPr>
        <w:t>情况内的信息会直接从</w:t>
      </w:r>
      <w:r>
        <w:rPr>
          <w:rFonts w:hint="eastAsia" w:ascii="宋体" w:hAnsi="宋体"/>
          <w:sz w:val="21"/>
          <w:szCs w:val="21"/>
        </w:rPr>
        <w:t>新申请填报</w:t>
      </w:r>
      <w:r>
        <w:rPr>
          <w:rFonts w:ascii="宋体" w:hAnsi="宋体"/>
          <w:sz w:val="21"/>
          <w:szCs w:val="21"/>
        </w:rPr>
        <w:t>的基本信息中取得，</w:t>
      </w:r>
      <w:r>
        <w:rPr>
          <w:rFonts w:hint="eastAsia" w:ascii="宋体" w:hAnsi="宋体"/>
          <w:sz w:val="21"/>
          <w:szCs w:val="21"/>
        </w:rPr>
        <w:t>且不允许用户修改。</w:t>
      </w:r>
    </w:p>
    <w:p>
      <w:pPr>
        <w:pStyle w:val="37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【股权结构】点击股权结构右边的“+”，增加填写，如下图：</w:t>
      </w:r>
    </w:p>
    <w:p>
      <w:pPr>
        <w:pStyle w:val="37"/>
        <w:ind w:firstLine="480"/>
        <w:contextualSpacing w:val="0"/>
      </w:pPr>
      <w:r>
        <w:drawing>
          <wp:inline distT="0" distB="0" distL="114300" distR="114300">
            <wp:extent cx="6186170" cy="2261235"/>
            <wp:effectExtent l="0" t="0" r="5080" b="5715"/>
            <wp:docPr id="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28"/>
        </w:numPr>
        <w:ind w:firstLine="482"/>
        <w:contextualSpacing w:val="0"/>
        <w:rPr>
          <w:b/>
          <w:bCs/>
        </w:rPr>
      </w:pPr>
      <w:r>
        <w:rPr>
          <w:rFonts w:hint="eastAsia"/>
          <w:b/>
          <w:bCs/>
        </w:rPr>
        <w:t>操作说明</w:t>
      </w:r>
    </w:p>
    <w:p>
      <w:pPr>
        <w:pStyle w:val="37"/>
        <w:ind w:firstLine="482"/>
        <w:contextualSpacing w:val="0"/>
        <w:rPr>
          <w:b/>
          <w:bCs/>
        </w:rPr>
      </w:pPr>
      <w:r>
        <w:rPr>
          <w:rFonts w:hint="eastAsia"/>
          <w:b/>
          <w:bCs/>
        </w:rPr>
        <w:t xml:space="preserve">    </w:t>
      </w:r>
      <w:r>
        <w:rPr>
          <w:rFonts w:hint="eastAsia"/>
        </w:rPr>
        <w:t xml:space="preserve">    带“*”为必填项</w:t>
      </w:r>
    </w:p>
    <w:p>
      <w:pPr>
        <w:pStyle w:val="37"/>
        <w:numPr>
          <w:ilvl w:val="0"/>
          <w:numId w:val="28"/>
        </w:numPr>
        <w:ind w:firstLine="482"/>
        <w:contextualSpacing w:val="0"/>
        <w:rPr>
          <w:b/>
          <w:bCs/>
        </w:rPr>
      </w:pPr>
      <w:r>
        <w:rPr>
          <w:rFonts w:hint="eastAsia"/>
          <w:b/>
          <w:bCs/>
        </w:rPr>
        <w:t>数据输入注意事项</w:t>
      </w:r>
    </w:p>
    <w:p>
      <w:pPr>
        <w:pStyle w:val="37"/>
        <w:ind w:firstLine="960" w:firstLineChars="400"/>
        <w:contextualSpacing w:val="0"/>
        <w:rPr>
          <w:rFonts w:ascii="宋体" w:hAnsi="宋体"/>
          <w:sz w:val="21"/>
          <w:szCs w:val="21"/>
        </w:rPr>
      </w:pPr>
      <w:r>
        <w:rPr>
          <w:rFonts w:hint="eastAsia"/>
        </w:rPr>
        <w:t>如实填写股权信息。</w:t>
      </w:r>
    </w:p>
    <w:p>
      <w:pPr>
        <w:pStyle w:val="4"/>
      </w:pPr>
      <w:bookmarkStart w:id="45" w:name="_Toc11577"/>
      <w:r>
        <w:rPr>
          <w:rFonts w:hint="eastAsia"/>
        </w:rPr>
        <w:t>技术负责人界面</w:t>
      </w:r>
      <w:bookmarkEnd w:id="45"/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企业用户登录系统，点击‘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’-‘</w:t>
      </w:r>
      <w:r>
        <w:rPr>
          <w:rFonts w:hint="eastAsia" w:ascii="宋体" w:hAnsi="宋体"/>
          <w:b/>
          <w:sz w:val="21"/>
          <w:szCs w:val="21"/>
        </w:rPr>
        <w:t>许可事项变更</w:t>
      </w:r>
      <w:r>
        <w:rPr>
          <w:rFonts w:hint="eastAsia" w:ascii="宋体" w:hAnsi="宋体"/>
          <w:sz w:val="21"/>
          <w:szCs w:val="21"/>
        </w:rPr>
        <w:t>’-‘</w:t>
      </w:r>
      <w:r>
        <w:rPr>
          <w:rFonts w:hint="eastAsia" w:ascii="宋体" w:hAnsi="宋体"/>
          <w:b/>
          <w:sz w:val="21"/>
          <w:szCs w:val="21"/>
        </w:rPr>
        <w:t>技术负责人</w:t>
      </w:r>
      <w:r>
        <w:rPr>
          <w:rFonts w:hint="eastAsia" w:ascii="宋体" w:hAnsi="宋体"/>
          <w:sz w:val="21"/>
          <w:szCs w:val="21"/>
        </w:rPr>
        <w:t>’链接，如下图：</w:t>
      </w:r>
    </w:p>
    <w:p>
      <w:pPr>
        <w:adjustRightInd w:val="0"/>
        <w:snapToGrid w:val="0"/>
        <w:ind w:firstLine="0" w:firstLineChars="0"/>
        <w:contextualSpacing w:val="0"/>
      </w:pPr>
      <w:r>
        <w:drawing>
          <wp:inline distT="0" distB="0" distL="114300" distR="114300">
            <wp:extent cx="6178550" cy="3687445"/>
            <wp:effectExtent l="0" t="0" r="12700" b="8255"/>
            <wp:docPr id="5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6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（1）操作说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【+】点工作经历右边的“+”弹出新增工作经历页面</w:t>
      </w:r>
    </w:p>
    <w:p>
      <w:pPr>
        <w:ind w:firstLine="0" w:firstLineChars="0"/>
        <w:contextualSpacing w:val="0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6187440" cy="3326765"/>
            <wp:effectExtent l="0" t="0" r="10160" b="635"/>
            <wp:docPr id="7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【保存】保存当前页面中输入和选择的信息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【浏览】浏览本地附件信息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【选取文件】上传本地附件至系统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【删除】删除该条信息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【修改】编辑该条信息</w:t>
      </w:r>
    </w:p>
    <w:p>
      <w:pPr>
        <w:pStyle w:val="37"/>
        <w:numPr>
          <w:ilvl w:val="0"/>
          <w:numId w:val="29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 xml:space="preserve"> 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ind w:firstLine="420"/>
        <w:rPr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证明人电话输入处进行了电话号码规则校验，必须输入正确的手机号码。</w:t>
      </w:r>
    </w:p>
    <w:p>
      <w:pPr>
        <w:pStyle w:val="4"/>
      </w:pPr>
      <w:bookmarkStart w:id="46" w:name="_Toc11967"/>
      <w:r>
        <w:rPr>
          <w:rFonts w:hint="eastAsia"/>
        </w:rPr>
        <w:t>安全负责人界面</w:t>
      </w:r>
      <w:bookmarkEnd w:id="46"/>
    </w:p>
    <w:p>
      <w:pPr>
        <w:ind w:firstLine="420"/>
        <w:rPr>
          <w:rFonts w:ascii="宋体" w:hAnsi="宋体"/>
          <w:sz w:val="21"/>
          <w:szCs w:val="21"/>
          <w:lang w:val="zh-CN"/>
        </w:rPr>
      </w:pPr>
      <w:r>
        <w:rPr>
          <w:rFonts w:hint="eastAsia" w:ascii="宋体" w:hAnsi="宋体"/>
          <w:sz w:val="21"/>
          <w:szCs w:val="21"/>
          <w:lang w:val="zh-CN"/>
        </w:rPr>
        <w:t>企业用户登录系统，点击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="宋体" w:hAnsi="宋体"/>
          <w:sz w:val="21"/>
          <w:szCs w:val="21"/>
          <w:lang w:val="zh-CN"/>
        </w:rPr>
        <w:t>-‘</w:t>
      </w:r>
      <w:r>
        <w:rPr>
          <w:rFonts w:hint="eastAsia" w:ascii="宋体" w:hAnsi="宋体"/>
          <w:b/>
          <w:sz w:val="21"/>
          <w:szCs w:val="21"/>
        </w:rPr>
        <w:t>许可事项变更</w:t>
      </w:r>
      <w:r>
        <w:rPr>
          <w:rFonts w:hint="eastAsia" w:ascii="宋体" w:hAnsi="宋体"/>
          <w:sz w:val="21"/>
          <w:szCs w:val="21"/>
          <w:lang w:val="zh-CN"/>
        </w:rPr>
        <w:t>’-‘</w:t>
      </w:r>
      <w:r>
        <w:rPr>
          <w:rFonts w:hint="eastAsia" w:ascii="宋体" w:hAnsi="宋体"/>
          <w:b/>
          <w:sz w:val="21"/>
          <w:szCs w:val="21"/>
          <w:lang w:val="zh-CN"/>
        </w:rPr>
        <w:t>安全负责人</w:t>
      </w:r>
      <w:r>
        <w:rPr>
          <w:rFonts w:hint="eastAsia" w:ascii="宋体" w:hAnsi="宋体"/>
          <w:sz w:val="21"/>
          <w:szCs w:val="21"/>
          <w:lang w:val="zh-CN"/>
        </w:rPr>
        <w:t>’，如下图所示：</w:t>
      </w:r>
    </w:p>
    <w:p>
      <w:pPr>
        <w:adjustRightInd w:val="0"/>
        <w:snapToGrid w:val="0"/>
        <w:ind w:firstLine="0" w:firstLineChars="0"/>
        <w:contextualSpacing w:val="0"/>
        <w:rPr>
          <w:lang w:val="zh-CN"/>
        </w:rPr>
      </w:pPr>
      <w:r>
        <w:drawing>
          <wp:inline distT="0" distB="0" distL="114300" distR="114300">
            <wp:extent cx="6180455" cy="5390515"/>
            <wp:effectExtent l="0" t="0" r="10795" b="635"/>
            <wp:docPr id="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539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（1）操作说明</w:t>
      </w:r>
    </w:p>
    <w:p>
      <w:pPr>
        <w:pStyle w:val="37"/>
        <w:numPr>
          <w:ilvl w:val="0"/>
          <w:numId w:val="30"/>
        </w:numPr>
        <w:ind w:left="0" w:firstLine="1134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【保存】保存当前界面中输入和选择的数据</w:t>
      </w:r>
    </w:p>
    <w:p>
      <w:pPr>
        <w:pStyle w:val="37"/>
        <w:numPr>
          <w:ilvl w:val="0"/>
          <w:numId w:val="30"/>
        </w:numPr>
        <w:ind w:left="0" w:firstLine="1134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【选取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浏览本地文件</w:t>
      </w:r>
    </w:p>
    <w:p>
      <w:pPr>
        <w:pStyle w:val="37"/>
        <w:numPr>
          <w:ilvl w:val="0"/>
          <w:numId w:val="30"/>
        </w:numPr>
        <w:ind w:left="0" w:firstLine="1134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【上传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上传本地文件至系统</w:t>
      </w:r>
    </w:p>
    <w:p>
      <w:pPr>
        <w:pStyle w:val="37"/>
        <w:numPr>
          <w:ilvl w:val="0"/>
          <w:numId w:val="30"/>
        </w:numPr>
        <w:ind w:left="0" w:firstLine="1134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【工作经历+】新增工作经历界面，如下图：</w:t>
      </w:r>
    </w:p>
    <w:p>
      <w:pPr>
        <w:ind w:firstLine="0" w:firstLineChars="0"/>
        <w:contextualSpacing w:val="0"/>
        <w:rPr>
          <w:rFonts w:ascii="宋体" w:hAnsi="宋体"/>
          <w:b/>
          <w:sz w:val="21"/>
          <w:szCs w:val="21"/>
        </w:rPr>
      </w:pPr>
      <w:r>
        <w:drawing>
          <wp:inline distT="0" distB="0" distL="114300" distR="114300">
            <wp:extent cx="6186170" cy="3319780"/>
            <wp:effectExtent l="0" t="0" r="11430" b="7620"/>
            <wp:docPr id="7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【培训经历+】新增培训经历界面，如下图：</w:t>
      </w:r>
    </w:p>
    <w:p>
      <w:pPr>
        <w:ind w:firstLine="0" w:firstLineChars="0"/>
        <w:contextualSpacing w:val="0"/>
        <w:rPr>
          <w:rFonts w:ascii="宋体" w:hAnsi="宋体"/>
          <w:b/>
          <w:sz w:val="21"/>
          <w:szCs w:val="21"/>
        </w:rPr>
      </w:pPr>
      <w:r>
        <w:drawing>
          <wp:inline distT="0" distB="0" distL="114300" distR="114300">
            <wp:extent cx="6186170" cy="2757170"/>
            <wp:effectExtent l="0" t="0" r="11430" b="11430"/>
            <wp:docPr id="7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0"/>
        </w:numPr>
        <w:ind w:left="0" w:firstLine="1134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【删除】删除该条信息</w:t>
      </w:r>
    </w:p>
    <w:p>
      <w:pPr>
        <w:numPr>
          <w:ilvl w:val="0"/>
          <w:numId w:val="30"/>
        </w:numPr>
        <w:ind w:left="0" w:firstLine="1134"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【修改】编辑该条信息</w:t>
      </w:r>
    </w:p>
    <w:p>
      <w:p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（2）数据输入注意事项</w:t>
      </w:r>
    </w:p>
    <w:p>
      <w:pPr>
        <w:pStyle w:val="37"/>
        <w:ind w:left="7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4"/>
      </w:pPr>
      <w:bookmarkStart w:id="47" w:name="_Toc22651"/>
      <w:r>
        <w:rPr>
          <w:rFonts w:hint="eastAsia"/>
          <w:lang w:eastAsia="zh-CN"/>
        </w:rPr>
        <w:t>电力相关专业技能人员</w:t>
      </w:r>
      <w:bookmarkEnd w:id="47"/>
    </w:p>
    <w:p>
      <w:pPr>
        <w:ind w:firstLine="420"/>
        <w:rPr>
          <w:rFonts w:ascii="宋体" w:hAnsi="宋体"/>
          <w:sz w:val="21"/>
          <w:szCs w:val="21"/>
          <w:lang w:val="zh-CN"/>
        </w:rPr>
      </w:pPr>
      <w:r>
        <w:rPr>
          <w:rFonts w:hint="eastAsia" w:ascii="宋体" w:hAnsi="宋体"/>
          <w:sz w:val="21"/>
          <w:szCs w:val="21"/>
          <w:lang w:val="zh-CN"/>
        </w:rPr>
        <w:t>企业用户登录系统，点击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="宋体" w:hAnsi="宋体"/>
          <w:sz w:val="21"/>
          <w:szCs w:val="21"/>
          <w:lang w:val="zh-CN"/>
        </w:rPr>
        <w:t>-‘</w:t>
      </w:r>
      <w:r>
        <w:rPr>
          <w:rFonts w:hint="eastAsia" w:ascii="宋体" w:hAnsi="宋体"/>
          <w:b/>
          <w:sz w:val="21"/>
          <w:szCs w:val="21"/>
        </w:rPr>
        <w:t>许可事项变更</w:t>
      </w:r>
      <w:r>
        <w:rPr>
          <w:rFonts w:hint="eastAsia" w:ascii="宋体" w:hAnsi="宋体"/>
          <w:sz w:val="21"/>
          <w:szCs w:val="21"/>
          <w:lang w:val="zh-CN"/>
        </w:rPr>
        <w:t>’-‘</w:t>
      </w:r>
      <w:r>
        <w:rPr>
          <w:rFonts w:hint="eastAsia" w:ascii="宋体" w:hAnsi="宋体"/>
          <w:b/>
          <w:sz w:val="21"/>
          <w:szCs w:val="21"/>
          <w:lang w:val="zh-CN"/>
        </w:rPr>
        <w:t>电力相关专业技能人员</w:t>
      </w:r>
      <w:r>
        <w:rPr>
          <w:rFonts w:ascii="宋体" w:hAnsi="宋体"/>
          <w:b/>
          <w:sz w:val="21"/>
          <w:szCs w:val="21"/>
          <w:lang w:val="zh-CN"/>
        </w:rPr>
        <w:t>’</w:t>
      </w:r>
      <w:r>
        <w:rPr>
          <w:rFonts w:hint="eastAsia" w:ascii="宋体" w:hAnsi="宋体"/>
          <w:sz w:val="21"/>
          <w:szCs w:val="21"/>
          <w:lang w:val="zh-CN"/>
        </w:rPr>
        <w:t>链接，如下图所示：</w:t>
      </w:r>
    </w:p>
    <w:p>
      <w:pPr>
        <w:ind w:firstLine="0" w:firstLineChars="0"/>
        <w:rPr>
          <w:rFonts w:ascii="宋体" w:hAnsi="宋体"/>
          <w:sz w:val="21"/>
          <w:szCs w:val="21"/>
          <w:lang w:val="zh-CN"/>
        </w:rPr>
      </w:pPr>
      <w:r>
        <w:drawing>
          <wp:inline distT="0" distB="0" distL="114300" distR="114300">
            <wp:extent cx="6188075" cy="3213100"/>
            <wp:effectExtent l="0" t="0" r="3175" b="6350"/>
            <wp:docPr id="6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31"/>
        </w:numPr>
        <w:ind w:left="480" w:leftChars="200"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操作说明</w:t>
      </w:r>
    </w:p>
    <w:p>
      <w:pPr>
        <w:pStyle w:val="37"/>
        <w:numPr>
          <w:ilvl w:val="0"/>
          <w:numId w:val="32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  <w:lang w:val="zh-CN"/>
        </w:rPr>
      </w:pP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【保存】保存当前页面中已输入、选择和上传的信息</w:t>
      </w:r>
    </w:p>
    <w:p>
      <w:pPr>
        <w:pStyle w:val="37"/>
        <w:numPr>
          <w:ilvl w:val="0"/>
          <w:numId w:val="32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  <w:lang w:val="zh-CN"/>
        </w:rPr>
      </w:pP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【+】打开新增电力相关专业技能人员界面，如下图所示：</w:t>
      </w:r>
    </w:p>
    <w:p>
      <w:pPr>
        <w:ind w:firstLine="0" w:firstLineChars="0"/>
        <w:rPr>
          <w:lang w:val="zh-CN"/>
        </w:rPr>
      </w:pPr>
      <w:r>
        <w:drawing>
          <wp:inline distT="0" distB="0" distL="114300" distR="114300">
            <wp:extent cx="6182995" cy="1818640"/>
            <wp:effectExtent l="0" t="0" r="8255" b="10160"/>
            <wp:docPr id="6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1"/>
        </w:numPr>
        <w:ind w:left="480" w:leftChars="200"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数据输入注意事项</w:t>
      </w:r>
    </w:p>
    <w:p>
      <w:pPr>
        <w:ind w:left="730" w:leftChars="304" w:firstLine="420"/>
        <w:rPr>
          <w:sz w:val="21"/>
          <w:szCs w:val="21"/>
          <w:lang w:val="zh-CN"/>
        </w:rPr>
      </w:pPr>
      <w:bookmarkStart w:id="48" w:name="_Toc30962"/>
      <w:r>
        <w:rPr>
          <w:rFonts w:hint="eastAsia"/>
          <w:sz w:val="21"/>
          <w:szCs w:val="21"/>
          <w:lang w:val="zh-CN"/>
        </w:rPr>
        <w:t>带“</w:t>
      </w:r>
      <w:r>
        <w:rPr>
          <w:rFonts w:hint="eastAsia"/>
          <w:sz w:val="21"/>
          <w:szCs w:val="21"/>
        </w:rPr>
        <w:t>*</w:t>
      </w:r>
      <w:r>
        <w:rPr>
          <w:rFonts w:hint="eastAsia"/>
          <w:sz w:val="21"/>
          <w:szCs w:val="21"/>
          <w:lang w:val="zh-CN"/>
        </w:rPr>
        <w:t>”为必填项</w:t>
      </w:r>
      <w:bookmarkEnd w:id="48"/>
    </w:p>
    <w:p>
      <w:pPr>
        <w:ind w:firstLine="420"/>
        <w:rPr>
          <w:sz w:val="21"/>
          <w:szCs w:val="21"/>
          <w:lang w:val="zh-CN"/>
        </w:rPr>
      </w:pPr>
    </w:p>
    <w:p>
      <w:pPr>
        <w:pStyle w:val="4"/>
      </w:pPr>
      <w:bookmarkStart w:id="49" w:name="_Toc22218"/>
      <w:r>
        <w:rPr>
          <w:rFonts w:hint="eastAsia"/>
          <w:lang w:eastAsia="zh-CN"/>
        </w:rPr>
        <w:t>电力相关专业技能人员</w:t>
      </w:r>
      <w:bookmarkEnd w:id="49"/>
    </w:p>
    <w:p>
      <w:pPr>
        <w:ind w:firstLine="420"/>
        <w:rPr>
          <w:rFonts w:asciiTheme="minorEastAsia" w:hAnsiTheme="minorEastAsia" w:eastAsiaTheme="minorEastAsia"/>
          <w:sz w:val="21"/>
          <w:szCs w:val="21"/>
          <w:lang w:val="zh-CN"/>
        </w:rPr>
      </w:pP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企业用户登陆系统，点击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-‘</w:t>
      </w:r>
      <w:r>
        <w:rPr>
          <w:rFonts w:hint="eastAsia" w:ascii="宋体" w:hAnsi="宋体"/>
          <w:b/>
          <w:sz w:val="21"/>
          <w:szCs w:val="21"/>
        </w:rPr>
        <w:t>许可事项变更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’-‘</w:t>
      </w:r>
      <w:r>
        <w:rPr>
          <w:rFonts w:hint="eastAsia" w:asciiTheme="minorEastAsia" w:hAnsiTheme="minorEastAsia" w:eastAsiaTheme="minorEastAsia"/>
          <w:b/>
          <w:sz w:val="21"/>
          <w:szCs w:val="21"/>
          <w:lang w:val="zh-CN"/>
        </w:rPr>
        <w:t>电力相关专业技能人员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’链接，打开界面如下图所示：</w:t>
      </w:r>
    </w:p>
    <w:p>
      <w:pPr>
        <w:ind w:firstLine="0" w:firstLineChars="0"/>
        <w:rPr>
          <w:lang w:val="zh-CN"/>
        </w:rPr>
      </w:pPr>
      <w:r>
        <w:drawing>
          <wp:inline distT="0" distB="0" distL="114300" distR="114300">
            <wp:extent cx="6182995" cy="3175635"/>
            <wp:effectExtent l="0" t="0" r="8255" b="5715"/>
            <wp:docPr id="6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（1）操作说明</w:t>
      </w:r>
    </w:p>
    <w:p>
      <w:pPr>
        <w:pStyle w:val="37"/>
        <w:ind w:left="420"/>
        <w:contextualSpacing w:val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用户新增持电工进网作业许可证人员后，系统自动汇总持电工进网作业许可证人员总数，并显示；</w:t>
      </w:r>
    </w:p>
    <w:p>
      <w:pPr>
        <w:pStyle w:val="37"/>
        <w:contextualSpacing w:val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电工发证机关添加人员前按下拉框提前选择，在添加电工信息。</w:t>
      </w:r>
    </w:p>
    <w:p>
      <w:pPr>
        <w:ind w:firstLine="420"/>
        <w:contextualSpacing w:val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【+】打开</w:t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asciiTheme="minorEastAsia" w:hAnsiTheme="minorEastAsia" w:eastAsiaTheme="minorEastAsia"/>
          <w:sz w:val="21"/>
          <w:szCs w:val="21"/>
        </w:rPr>
        <w:instrText xml:space="preserve">REF _Ref352317798 \h</w:instrText>
      </w:r>
      <w:r>
        <w:rPr>
          <w:rFonts w:asciiTheme="minorEastAsia" w:hAnsiTheme="minorEastAsia" w:eastAsiaTheme="minorEastAsia"/>
          <w:sz w:val="21"/>
          <w:szCs w:val="21"/>
        </w:rPr>
        <w:instrText xml:space="preserve">  \* MERGEFORMAT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sz w:val="21"/>
          <w:szCs w:val="21"/>
        </w:rPr>
        <w:t>新增电工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hint="eastAsia" w:asciiTheme="minorEastAsia" w:hAnsiTheme="minorEastAsia" w:eastAsiaTheme="minorEastAsia"/>
          <w:sz w:val="21"/>
          <w:szCs w:val="21"/>
        </w:rPr>
        <w:t>界面：</w:t>
      </w:r>
    </w:p>
    <w:p>
      <w:pPr>
        <w:ind w:firstLine="0" w:firstLineChars="0"/>
        <w:contextualSpacing w:val="0"/>
      </w:pPr>
      <w:r>
        <w:drawing>
          <wp:inline distT="0" distB="0" distL="114300" distR="114300">
            <wp:extent cx="6181090" cy="2288540"/>
            <wp:effectExtent l="0" t="0" r="10160" b="16510"/>
            <wp:docPr id="6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3"/>
        </w:numPr>
        <w:ind w:left="0" w:firstLine="1134" w:firstLineChars="0"/>
        <w:contextualSpacing w:val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【编辑】可编辑修改此条持电工进网作业许可证人员信息</w:t>
      </w:r>
    </w:p>
    <w:p>
      <w:pPr>
        <w:numPr>
          <w:ilvl w:val="0"/>
          <w:numId w:val="33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【删除】删除此条持电工进网作业许可证人员信息</w:t>
      </w:r>
    </w:p>
    <w:p>
      <w:pPr>
        <w:ind w:firstLine="422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（2）数据输入注意事项</w:t>
      </w:r>
    </w:p>
    <w:p>
      <w:pPr>
        <w:ind w:left="422"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电工注册页面中的身份证号码不能重复，此处做了唯一校验，即同一个电工的身份证号码只能使用一次。</w:t>
      </w:r>
    </w:p>
    <w:p>
      <w:pPr>
        <w:pStyle w:val="4"/>
      </w:pPr>
      <w:bookmarkStart w:id="50" w:name="_Toc5636"/>
      <w:r>
        <w:rPr>
          <w:rFonts w:hint="eastAsia"/>
          <w:lang w:eastAsia="zh-CN"/>
        </w:rPr>
        <w:t>规定年限内主要业绩</w:t>
      </w:r>
      <w:bookmarkEnd w:id="50"/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企业用户登陆系统，点击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Theme="minorEastAsia" w:hAnsiTheme="minorEastAsia" w:eastAsiaTheme="minorEastAsia"/>
          <w:sz w:val="21"/>
          <w:szCs w:val="21"/>
        </w:rPr>
        <w:t>-‘</w:t>
      </w:r>
      <w:r>
        <w:rPr>
          <w:rFonts w:hint="eastAsia" w:ascii="宋体" w:hAnsi="宋体"/>
          <w:b/>
          <w:sz w:val="21"/>
          <w:szCs w:val="21"/>
        </w:rPr>
        <w:t>许可事项变更</w:t>
      </w:r>
      <w:r>
        <w:rPr>
          <w:rFonts w:hint="eastAsia" w:asciiTheme="minorEastAsia" w:hAnsiTheme="minorEastAsia" w:eastAsiaTheme="minorEastAsia"/>
          <w:sz w:val="21"/>
          <w:szCs w:val="21"/>
        </w:rPr>
        <w:t>’-‘</w:t>
      </w:r>
      <w:r>
        <w:rPr>
          <w:rFonts w:hint="eastAsia" w:asciiTheme="minorEastAsia" w:hAnsiTheme="minorEastAsia" w:eastAsiaTheme="minorEastAsia"/>
          <w:b/>
          <w:sz w:val="21"/>
          <w:szCs w:val="21"/>
          <w:lang w:eastAsia="zh-CN"/>
        </w:rPr>
        <w:t>规定年限内主要</w:t>
      </w:r>
      <w:r>
        <w:rPr>
          <w:rFonts w:hint="eastAsia" w:asciiTheme="minorEastAsia" w:hAnsiTheme="minorEastAsia" w:eastAsiaTheme="minorEastAsia"/>
          <w:b/>
          <w:sz w:val="21"/>
          <w:szCs w:val="21"/>
        </w:rPr>
        <w:t>业绩</w:t>
      </w:r>
      <w:r>
        <w:rPr>
          <w:rFonts w:hint="eastAsia" w:asciiTheme="minorEastAsia" w:hAnsiTheme="minorEastAsia" w:eastAsiaTheme="minorEastAsia"/>
          <w:sz w:val="21"/>
          <w:szCs w:val="21"/>
        </w:rPr>
        <w:t>’链接，页面如下图所示：</w:t>
      </w:r>
    </w:p>
    <w:p>
      <w:pPr>
        <w:adjustRightInd w:val="0"/>
        <w:snapToGrid w:val="0"/>
        <w:ind w:firstLine="0" w:firstLineChars="0"/>
        <w:contextualSpacing w:val="0"/>
        <w:rPr>
          <w:rFonts w:asciiTheme="minorEastAsia" w:hAnsiTheme="minorEastAsia" w:eastAsiaTheme="minorEastAsia"/>
          <w:b/>
          <w:sz w:val="21"/>
          <w:szCs w:val="21"/>
        </w:rPr>
      </w:pPr>
      <w:r>
        <w:drawing>
          <wp:inline distT="0" distB="0" distL="114300" distR="114300">
            <wp:extent cx="6186170" cy="4236720"/>
            <wp:effectExtent l="0" t="0" r="5080" b="11430"/>
            <wp:docPr id="6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843" w:firstLineChars="400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（1）操作说明</w:t>
      </w:r>
    </w:p>
    <w:p>
      <w:pPr>
        <w:ind w:firstLine="480"/>
      </w:pPr>
      <w:r>
        <w:rPr>
          <w:rFonts w:hint="eastAsia"/>
        </w:rPr>
        <w:t>用户新增工程业绩表后，系统按照工程电压等级自动汇总工程业绩表总数，并显示。</w:t>
      </w:r>
    </w:p>
    <w:p>
      <w:pPr>
        <w:numPr>
          <w:ilvl w:val="0"/>
          <w:numId w:val="34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【保存】保存当前页面中已输入、选择和上传的信息</w:t>
      </w:r>
    </w:p>
    <w:p>
      <w:pPr>
        <w:numPr>
          <w:ilvl w:val="0"/>
          <w:numId w:val="34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【+】打开新增工程业绩表界面，如下图所示：</w:t>
      </w:r>
    </w:p>
    <w:p>
      <w:pPr>
        <w:ind w:firstLine="0" w:firstLineChars="0"/>
      </w:pPr>
      <w:r>
        <w:drawing>
          <wp:inline distT="0" distB="0" distL="114300" distR="114300">
            <wp:extent cx="6182995" cy="2707640"/>
            <wp:effectExtent l="0" t="0" r="8255" b="16510"/>
            <wp:docPr id="6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6187440" cy="2096770"/>
            <wp:effectExtent l="0" t="0" r="3810" b="17780"/>
            <wp:docPr id="6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4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【删除】删除该条工程业绩信息</w:t>
      </w:r>
    </w:p>
    <w:p>
      <w:pPr>
        <w:numPr>
          <w:ilvl w:val="0"/>
          <w:numId w:val="34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【修改】编辑该条工程业绩信息</w:t>
      </w:r>
    </w:p>
    <w:p>
      <w:pPr>
        <w:numPr>
          <w:ilvl w:val="0"/>
          <w:numId w:val="34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【选取文件】浏览本地文件</w:t>
      </w:r>
    </w:p>
    <w:p>
      <w:pPr>
        <w:numPr>
          <w:ilvl w:val="0"/>
          <w:numId w:val="34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【上传】上传本地文件至系统</w:t>
      </w:r>
    </w:p>
    <w:p>
      <w:pPr>
        <w:ind w:firstLine="422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（2）数据输入注意事项</w:t>
      </w:r>
    </w:p>
    <w:p>
      <w:pPr>
        <w:ind w:left="521" w:leftChars="217" w:firstLine="420"/>
        <w:rPr>
          <w:rFonts w:asciiTheme="minorEastAsia" w:hAnsiTheme="minorEastAsia" w:eastAsiaTheme="minorEastAsia"/>
          <w:sz w:val="21"/>
          <w:szCs w:val="21"/>
        </w:rPr>
      </w:pPr>
      <w:bookmarkStart w:id="51" w:name="_Toc23224"/>
      <w:r>
        <w:rPr>
          <w:rFonts w:hint="eastAsia" w:asciiTheme="minorEastAsia" w:hAnsiTheme="minorEastAsia" w:eastAsiaTheme="minorEastAsia"/>
          <w:sz w:val="21"/>
          <w:szCs w:val="21"/>
        </w:rPr>
        <w:t>带“*”为必填项</w:t>
      </w:r>
      <w:bookmarkEnd w:id="51"/>
    </w:p>
    <w:p>
      <w:pPr>
        <w:pStyle w:val="4"/>
        <w:rPr>
          <w:lang w:val="en-US"/>
        </w:rPr>
      </w:pPr>
      <w:bookmarkStart w:id="52" w:name="_Toc25556"/>
      <w:r>
        <w:rPr>
          <w:rFonts w:hint="eastAsia"/>
          <w:lang w:val="en-US"/>
        </w:rPr>
        <w:t>资料提交</w:t>
      </w:r>
      <w:bookmarkEnd w:id="52"/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  资料填报完以后，进入资料提交，校验提交的资料是否符合申请要求，不符合的会提示不符合项；符合的点资料提交到形审。</w:t>
      </w:r>
    </w:p>
    <w:p>
      <w:pPr>
        <w:pStyle w:val="4"/>
        <w:rPr>
          <w:lang w:val="en-US"/>
        </w:rPr>
      </w:pPr>
      <w:bookmarkStart w:id="53" w:name="_Toc27160"/>
      <w:r>
        <w:rPr>
          <w:rFonts w:hint="eastAsia"/>
          <w:lang w:val="en-US"/>
        </w:rPr>
        <w:t>申请废弃</w:t>
      </w:r>
      <w:bookmarkEnd w:id="53"/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 该次申请的资料信息发生重大改变或者信息有更新，可以废弃该次申请，重新点击许可事项变更。</w:t>
      </w:r>
    </w:p>
    <w:p>
      <w:pPr>
        <w:pStyle w:val="4"/>
      </w:pPr>
      <w:bookmarkStart w:id="54" w:name="_Toc43834835"/>
      <w:bookmarkStart w:id="55" w:name="_Toc4513"/>
      <w:r>
        <w:rPr>
          <w:rFonts w:hint="eastAsia"/>
        </w:rPr>
        <w:t>容缺受理</w:t>
      </w:r>
      <w:bookmarkEnd w:id="54"/>
      <w:bookmarkEnd w:id="55"/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持证企业信用情况良好，且两年内未发生“申请容缺受理，但未按时提交容缺材料”的情况，符合容缺受理要求的企业，可以按照容缺受理流程申请。</w:t>
      </w:r>
    </w:p>
    <w:p>
      <w:pPr>
        <w:ind w:firstLine="0" w:firstLineChars="0"/>
        <w:rPr>
          <w:sz w:val="21"/>
          <w:szCs w:val="21"/>
        </w:rPr>
      </w:pPr>
      <w:r>
        <w:drawing>
          <wp:inline distT="0" distB="0" distL="114300" distR="114300">
            <wp:extent cx="6187440" cy="1259840"/>
            <wp:effectExtent l="0" t="0" r="10160" b="10160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35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37"/>
        <w:numPr>
          <w:ilvl w:val="0"/>
          <w:numId w:val="3"/>
        </w:numPr>
        <w:spacing w:line="300" w:lineRule="auto"/>
        <w:ind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37"/>
        <w:numPr>
          <w:ilvl w:val="0"/>
          <w:numId w:val="35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操作说明</w:t>
      </w:r>
    </w:p>
    <w:p>
      <w:pPr>
        <w:pStyle w:val="37"/>
        <w:numPr>
          <w:ilvl w:val="0"/>
          <w:numId w:val="3"/>
        </w:numPr>
        <w:spacing w:line="300" w:lineRule="auto"/>
        <w:ind w:left="839" w:hanging="357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登录系统进入首页后，点击页面下方“承装修试业务许可申请”标题中的“许可事项变更申请”，系统调用信用能源接口，查企业征信，符合条件企业弹出容缺申请选项。选择容缺申请，将进入容缺申请填报页面；选择一般性申请，将进入正常申请填报页面。如下图所示：</w:t>
      </w:r>
    </w:p>
    <w:p>
      <w:pPr>
        <w:pStyle w:val="37"/>
        <w:spacing w:line="300" w:lineRule="auto"/>
        <w:ind w:firstLine="0" w:firstLineChars="0"/>
        <w:contextualSpacing w:val="0"/>
        <w:jc w:val="center"/>
        <w:rPr>
          <w:rFonts w:ascii="宋体" w:hAnsi="宋体"/>
          <w:sz w:val="21"/>
          <w:szCs w:val="21"/>
        </w:rPr>
      </w:pPr>
      <w:r>
        <w:drawing>
          <wp:inline distT="0" distB="0" distL="0" distR="0">
            <wp:extent cx="3657600" cy="2324100"/>
            <wp:effectExtent l="0" t="0" r="0" b="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57788" cy="232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56" w:name="_Toc43834836"/>
      <w:bookmarkStart w:id="57" w:name="_Toc4025"/>
      <w:r>
        <w:rPr>
          <w:rFonts w:hint="eastAsia"/>
        </w:rPr>
        <w:t>自贸区</w:t>
      </w:r>
      <w:bookmarkEnd w:id="56"/>
      <w:bookmarkEnd w:id="57"/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持证企业信用情况良好，且是自贸区试点范围内的企业，可以按照自贸区业务办理流程申请。</w:t>
      </w:r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【</w:t>
      </w:r>
      <w:r>
        <w:rPr>
          <w:rFonts w:hint="eastAsia"/>
          <w:b/>
          <w:bCs/>
          <w:sz w:val="21"/>
          <w:szCs w:val="21"/>
        </w:rPr>
        <w:t>改革措施</w:t>
      </w:r>
      <w:r>
        <w:rPr>
          <w:rFonts w:hint="eastAsia"/>
          <w:sz w:val="21"/>
          <w:szCs w:val="21"/>
        </w:rPr>
        <w:t>】</w:t>
      </w:r>
    </w:p>
    <w:p>
      <w:pPr>
        <w:numPr>
          <w:ilvl w:val="0"/>
          <w:numId w:val="36"/>
        </w:numPr>
        <w:ind w:left="840" w:leftChars="350"/>
        <w:rPr>
          <w:rFonts w:ascii="宋体" w:hAnsi="宋体" w:cs="宋体"/>
          <w:sz w:val="22"/>
        </w:rPr>
      </w:pPr>
      <w:r>
        <w:rPr>
          <w:rFonts w:ascii="宋体" w:hAnsi="宋体" w:cs="宋体"/>
          <w:sz w:val="22"/>
        </w:rPr>
        <w:t xml:space="preserve">全程网上办理． </w:t>
      </w:r>
    </w:p>
    <w:p>
      <w:pPr>
        <w:numPr>
          <w:ilvl w:val="0"/>
          <w:numId w:val="36"/>
        </w:numPr>
        <w:ind w:left="840" w:leftChars="350"/>
        <w:rPr>
          <w:sz w:val="20"/>
          <w:szCs w:val="20"/>
        </w:rPr>
      </w:pPr>
      <w:r>
        <w:rPr>
          <w:rFonts w:ascii="宋体" w:hAnsi="宋体" w:cs="宋体"/>
          <w:sz w:val="22"/>
        </w:rPr>
        <w:t xml:space="preserve">精简许可条件和申请材料（同新申请改革措施）。 </w:t>
      </w:r>
    </w:p>
    <w:p>
      <w:pPr>
        <w:numPr>
          <w:ilvl w:val="0"/>
          <w:numId w:val="36"/>
        </w:numPr>
        <w:ind w:left="840" w:leftChars="350"/>
        <w:rPr>
          <w:sz w:val="20"/>
          <w:szCs w:val="20"/>
        </w:rPr>
      </w:pPr>
      <w:r>
        <w:rPr>
          <w:rFonts w:ascii="宋体" w:hAnsi="宋体" w:cs="宋体"/>
          <w:sz w:val="22"/>
        </w:rPr>
        <w:t>压减审批时限：审批时限由 20 日压减至 15 日．</w:t>
      </w:r>
    </w:p>
    <w:p>
      <w:pPr>
        <w:pStyle w:val="37"/>
        <w:numPr>
          <w:ilvl w:val="0"/>
          <w:numId w:val="37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37"/>
        <w:numPr>
          <w:ilvl w:val="0"/>
          <w:numId w:val="3"/>
        </w:numPr>
        <w:spacing w:line="300" w:lineRule="auto"/>
        <w:ind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37"/>
        <w:numPr>
          <w:ilvl w:val="0"/>
          <w:numId w:val="37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操作说明</w:t>
      </w:r>
    </w:p>
    <w:p>
      <w:pPr>
        <w:ind w:left="360" w:firstLine="0" w:firstLineChars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登录系统进入首页后，点击页面下方“承装修试业务许可申请”标题中的“许可事项变更申请”，系统调用信用能源接口，查企业征信，符合条件企业弹出提示框，点击确定，进入自贸区申请填报页面，点击取消，将关闭弹框。</w:t>
      </w:r>
    </w:p>
    <w:p>
      <w:pPr>
        <w:ind w:firstLine="0" w:firstLineChars="0"/>
        <w:jc w:val="center"/>
        <w:rPr>
          <w:sz w:val="21"/>
          <w:szCs w:val="21"/>
        </w:rPr>
      </w:pPr>
      <w:r>
        <w:drawing>
          <wp:inline distT="0" distB="0" distL="0" distR="0">
            <wp:extent cx="4152900" cy="1631950"/>
            <wp:effectExtent l="0" t="0" r="0" b="635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53113" cy="163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</w:p>
    <w:p>
      <w:pPr>
        <w:pStyle w:val="3"/>
      </w:pPr>
      <w:bookmarkStart w:id="58" w:name="_Toc3151"/>
      <w:r>
        <w:rPr>
          <w:rFonts w:hint="eastAsia"/>
        </w:rPr>
        <w:t>许可证延续</w:t>
      </w:r>
      <w:bookmarkEnd w:id="58"/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同承装（修、试）许可事项变更外网界面。</w:t>
      </w:r>
    </w:p>
    <w:p>
      <w:pPr>
        <w:pStyle w:val="4"/>
      </w:pPr>
      <w:bookmarkStart w:id="59" w:name="_Toc29473"/>
      <w:r>
        <w:rPr>
          <w:rFonts w:hint="eastAsia"/>
        </w:rPr>
        <w:t>基本情况界面</w:t>
      </w:r>
      <w:bookmarkEnd w:id="59"/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企业用户登录系统，点击系统首页“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”-“</w:t>
      </w:r>
      <w:r>
        <w:rPr>
          <w:rFonts w:hint="eastAsia" w:ascii="宋体" w:hAnsi="宋体"/>
          <w:b/>
          <w:sz w:val="21"/>
          <w:szCs w:val="21"/>
        </w:rPr>
        <w:t>许可证延续</w:t>
      </w:r>
      <w:r>
        <w:rPr>
          <w:rFonts w:hint="eastAsia" w:ascii="宋体" w:hAnsi="宋体"/>
          <w:sz w:val="21"/>
          <w:szCs w:val="21"/>
        </w:rPr>
        <w:t>”，进入基本</w:t>
      </w:r>
      <w:r>
        <w:rPr>
          <w:rFonts w:ascii="宋体" w:hAnsi="宋体"/>
          <w:sz w:val="21"/>
          <w:szCs w:val="21"/>
        </w:rPr>
        <w:t>情况填报</w:t>
      </w:r>
      <w:r>
        <w:rPr>
          <w:rFonts w:hint="eastAsia" w:ascii="宋体" w:hAnsi="宋体"/>
          <w:sz w:val="21"/>
          <w:szCs w:val="21"/>
        </w:rPr>
        <w:t>页面如</w:t>
      </w:r>
      <w:r>
        <w:rPr>
          <w:rFonts w:ascii="宋体" w:hAnsi="宋体"/>
          <w:sz w:val="21"/>
          <w:szCs w:val="21"/>
        </w:rPr>
        <w:t>下</w:t>
      </w:r>
      <w:r>
        <w:rPr>
          <w:rFonts w:hint="eastAsia" w:ascii="宋体" w:hAnsi="宋体"/>
          <w:sz w:val="21"/>
          <w:szCs w:val="21"/>
        </w:rPr>
        <w:t>:</w:t>
      </w:r>
    </w:p>
    <w:p>
      <w:pPr>
        <w:ind w:firstLine="0" w:firstLineChars="0"/>
      </w:pPr>
      <w:r>
        <w:drawing>
          <wp:inline distT="0" distB="0" distL="114300" distR="114300">
            <wp:extent cx="6188075" cy="1510030"/>
            <wp:effectExtent l="0" t="0" r="9525" b="1270"/>
            <wp:docPr id="105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6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8"/>
        </w:numPr>
        <w:ind w:firstLine="482"/>
        <w:rPr>
          <w:b/>
          <w:bCs/>
        </w:rPr>
      </w:pPr>
      <w:r>
        <w:rPr>
          <w:rFonts w:hint="eastAsia"/>
          <w:b/>
          <w:bCs/>
        </w:rPr>
        <w:t xml:space="preserve"> 操作说明</w:t>
      </w:r>
    </w:p>
    <w:p>
      <w:pPr>
        <w:ind w:firstLine="482"/>
        <w:rPr>
          <w:b/>
          <w:bCs/>
        </w:rPr>
      </w:pPr>
      <w:r>
        <w:rPr>
          <w:rFonts w:hint="eastAsia"/>
          <w:b/>
          <w:bCs/>
        </w:rPr>
        <w:t xml:space="preserve">      </w:t>
      </w:r>
      <w:r>
        <w:rPr>
          <w:rFonts w:hint="eastAsia" w:ascii="宋体" w:hAnsi="宋体"/>
          <w:sz w:val="21"/>
          <w:szCs w:val="21"/>
        </w:rPr>
        <w:t xml:space="preserve">  勾选是否降级，勾选否进入正常续期流程；勾选是，进入降级流程。</w:t>
      </w:r>
    </w:p>
    <w:p>
      <w:pPr>
        <w:numPr>
          <w:ilvl w:val="0"/>
          <w:numId w:val="38"/>
        </w:numPr>
        <w:ind w:firstLine="482"/>
        <w:rPr>
          <w:b/>
          <w:bCs/>
        </w:rPr>
      </w:pPr>
      <w:r>
        <w:rPr>
          <w:rFonts w:hint="eastAsia"/>
          <w:b/>
          <w:bCs/>
        </w:rPr>
        <w:t>数据输入注意事项</w:t>
      </w:r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 xml:space="preserve">      无</w:t>
      </w:r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【下一步】进入基本信息情况，如下图：</w:t>
      </w:r>
    </w:p>
    <w:p>
      <w:pPr>
        <w:adjustRightInd w:val="0"/>
        <w:snapToGrid w:val="0"/>
        <w:ind w:firstLine="0" w:firstLineChars="0"/>
        <w:contextualSpacing w:val="0"/>
      </w:pPr>
      <w:r>
        <w:drawing>
          <wp:inline distT="0" distB="0" distL="114300" distR="114300">
            <wp:extent cx="6187440" cy="4802505"/>
            <wp:effectExtent l="0" t="0" r="3810" b="17145"/>
            <wp:docPr id="6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480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0" w:firstLineChars="0"/>
        <w:contextualSpacing w:val="0"/>
      </w:pPr>
      <w:r>
        <w:drawing>
          <wp:inline distT="0" distB="0" distL="114300" distR="114300">
            <wp:extent cx="6182995" cy="1996440"/>
            <wp:effectExtent l="0" t="0" r="8255" b="3810"/>
            <wp:docPr id="7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39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【保存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输入申请人</w:t>
      </w:r>
      <w:r>
        <w:rPr>
          <w:rFonts w:ascii="宋体" w:hAnsi="宋体"/>
          <w:sz w:val="21"/>
          <w:szCs w:val="21"/>
        </w:rPr>
        <w:t>基本</w:t>
      </w:r>
      <w:r>
        <w:rPr>
          <w:rFonts w:hint="eastAsia" w:ascii="宋体" w:hAnsi="宋体"/>
          <w:sz w:val="21"/>
          <w:szCs w:val="21"/>
        </w:rPr>
        <w:t>情况，</w:t>
      </w:r>
      <w:r>
        <w:rPr>
          <w:rFonts w:ascii="宋体" w:hAnsi="宋体"/>
          <w:sz w:val="21"/>
          <w:szCs w:val="21"/>
        </w:rPr>
        <w:t>上传附件信息</w:t>
      </w:r>
      <w:r>
        <w:rPr>
          <w:rFonts w:hint="eastAsia" w:ascii="宋体" w:hAnsi="宋体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保存当前页面信息</w:t>
      </w:r>
      <w:r>
        <w:rPr>
          <w:rFonts w:hint="eastAsia" w:ascii="宋体" w:hAnsi="宋体"/>
          <w:sz w:val="21"/>
          <w:szCs w:val="21"/>
        </w:rPr>
        <w:t>并</w:t>
      </w:r>
      <w:r>
        <w:rPr>
          <w:rFonts w:ascii="宋体" w:hAnsi="宋体"/>
          <w:sz w:val="21"/>
          <w:szCs w:val="21"/>
        </w:rPr>
        <w:t>停留在当前页面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【选取文件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浏览本地</w:t>
      </w:r>
      <w:r>
        <w:rPr>
          <w:rFonts w:ascii="宋体" w:hAnsi="宋体"/>
          <w:sz w:val="21"/>
          <w:szCs w:val="21"/>
        </w:rPr>
        <w:t>附件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【上传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将</w:t>
      </w:r>
      <w:r>
        <w:rPr>
          <w:rFonts w:ascii="宋体" w:hAnsi="宋体"/>
          <w:sz w:val="21"/>
          <w:szCs w:val="21"/>
        </w:rPr>
        <w:t>本地附件上传到系统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【其他页签</w:t>
      </w:r>
      <w:r>
        <w:rPr>
          <w:rFonts w:ascii="宋体" w:hAnsi="宋体"/>
          <w:sz w:val="21"/>
          <w:szCs w:val="21"/>
        </w:rPr>
        <w:t>】点击</w:t>
      </w:r>
      <w:r>
        <w:rPr>
          <w:rFonts w:hint="eastAsia" w:ascii="宋体" w:hAnsi="宋体"/>
          <w:sz w:val="21"/>
          <w:szCs w:val="21"/>
        </w:rPr>
        <w:t>“</w:t>
      </w:r>
      <w:r>
        <w:rPr>
          <w:rFonts w:hint="eastAsia" w:ascii="宋体" w:hAnsi="宋体"/>
          <w:b/>
          <w:sz w:val="21"/>
          <w:szCs w:val="21"/>
        </w:rPr>
        <w:t>基本情况</w:t>
      </w:r>
      <w:r>
        <w:rPr>
          <w:rFonts w:ascii="宋体" w:hAnsi="宋体"/>
          <w:sz w:val="21"/>
          <w:szCs w:val="21"/>
        </w:rPr>
        <w:t>”</w:t>
      </w:r>
      <w:r>
        <w:rPr>
          <w:rFonts w:hint="eastAsia" w:ascii="宋体" w:hAnsi="宋体"/>
          <w:sz w:val="21"/>
          <w:szCs w:val="21"/>
        </w:rPr>
        <w:t>以外</w:t>
      </w:r>
      <w:r>
        <w:rPr>
          <w:rFonts w:ascii="宋体" w:hAnsi="宋体"/>
          <w:sz w:val="21"/>
          <w:szCs w:val="21"/>
        </w:rPr>
        <w:t>的其他页签</w:t>
      </w:r>
      <w:r>
        <w:rPr>
          <w:rFonts w:hint="eastAsia" w:ascii="宋体" w:hAnsi="宋体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放弃当前页面操作，进入其他信息填报界面</w:t>
      </w:r>
      <w:r>
        <w:rPr>
          <w:rFonts w:hint="eastAsia" w:ascii="宋体" w:hAnsi="宋体"/>
          <w:sz w:val="21"/>
          <w:szCs w:val="21"/>
          <w:lang w:eastAsia="zh-CN"/>
        </w:rPr>
        <w:t>。</w:t>
      </w:r>
    </w:p>
    <w:p>
      <w:pPr>
        <w:pStyle w:val="37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【股权结构】：点击股权结构右边的“+”，增加股权结构，如下图：</w:t>
      </w:r>
    </w:p>
    <w:p>
      <w:pPr>
        <w:pStyle w:val="37"/>
        <w:ind w:firstLine="0" w:firstLineChars="0"/>
        <w:contextualSpacing w:val="0"/>
      </w:pPr>
      <w:r>
        <w:drawing>
          <wp:inline distT="0" distB="0" distL="114300" distR="114300">
            <wp:extent cx="6186170" cy="2235835"/>
            <wp:effectExtent l="0" t="0" r="11430" b="12065"/>
            <wp:docPr id="111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6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如实填写信息。</w:t>
      </w:r>
    </w:p>
    <w:p>
      <w:pPr>
        <w:pStyle w:val="37"/>
        <w:numPr>
          <w:ilvl w:val="0"/>
          <w:numId w:val="39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申请人基本</w:t>
      </w:r>
      <w:r>
        <w:rPr>
          <w:rFonts w:ascii="宋体" w:hAnsi="宋体"/>
          <w:sz w:val="21"/>
          <w:szCs w:val="21"/>
        </w:rPr>
        <w:t>情况内的信息会直接从</w:t>
      </w:r>
      <w:r>
        <w:rPr>
          <w:rFonts w:hint="eastAsia" w:ascii="宋体" w:hAnsi="宋体"/>
          <w:sz w:val="21"/>
          <w:szCs w:val="21"/>
        </w:rPr>
        <w:t>新申请填报</w:t>
      </w:r>
      <w:r>
        <w:rPr>
          <w:rFonts w:ascii="宋体" w:hAnsi="宋体"/>
          <w:sz w:val="21"/>
          <w:szCs w:val="21"/>
        </w:rPr>
        <w:t>的基本信息中取得，</w:t>
      </w:r>
      <w:r>
        <w:rPr>
          <w:rFonts w:hint="eastAsia" w:ascii="宋体" w:hAnsi="宋体"/>
          <w:sz w:val="21"/>
          <w:szCs w:val="21"/>
        </w:rPr>
        <w:t>且不允许用户修改。</w:t>
      </w:r>
    </w:p>
    <w:p>
      <w:pPr>
        <w:ind w:firstLine="420"/>
        <w:rPr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其中：带“*”的附件为必填项</w:t>
      </w:r>
      <w:r>
        <w:rPr>
          <w:rFonts w:ascii="宋体" w:hAnsi="宋体"/>
          <w:sz w:val="21"/>
          <w:szCs w:val="21"/>
        </w:rPr>
        <w:t>。</w:t>
      </w:r>
    </w:p>
    <w:p>
      <w:pPr>
        <w:ind w:firstLine="480"/>
      </w:pPr>
    </w:p>
    <w:p>
      <w:pPr>
        <w:pStyle w:val="4"/>
      </w:pPr>
      <w:bookmarkStart w:id="60" w:name="_Toc9565"/>
      <w:r>
        <w:rPr>
          <w:rFonts w:hint="eastAsia"/>
        </w:rPr>
        <w:t>技术负责人界面</w:t>
      </w:r>
      <w:bookmarkEnd w:id="60"/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企业用户登录系统，点击‘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’-‘</w:t>
      </w:r>
      <w:r>
        <w:rPr>
          <w:rFonts w:hint="eastAsia" w:ascii="宋体" w:hAnsi="宋体"/>
          <w:b/>
          <w:sz w:val="21"/>
          <w:szCs w:val="21"/>
        </w:rPr>
        <w:t>许可</w:t>
      </w:r>
      <w:r>
        <w:rPr>
          <w:rFonts w:hint="eastAsia" w:ascii="宋体" w:hAnsi="宋体"/>
          <w:b/>
          <w:sz w:val="21"/>
          <w:szCs w:val="21"/>
          <w:lang w:eastAsia="zh-CN"/>
        </w:rPr>
        <w:t>证延续申请</w:t>
      </w:r>
      <w:r>
        <w:rPr>
          <w:rFonts w:hint="eastAsia" w:ascii="宋体" w:hAnsi="宋体"/>
          <w:sz w:val="21"/>
          <w:szCs w:val="21"/>
        </w:rPr>
        <w:t>’-‘</w:t>
      </w:r>
      <w:r>
        <w:rPr>
          <w:rFonts w:hint="eastAsia" w:ascii="宋体" w:hAnsi="宋体"/>
          <w:b/>
          <w:sz w:val="21"/>
          <w:szCs w:val="21"/>
        </w:rPr>
        <w:t>技术负责人</w:t>
      </w:r>
      <w:r>
        <w:rPr>
          <w:rFonts w:hint="eastAsia" w:ascii="宋体" w:hAnsi="宋体"/>
          <w:sz w:val="21"/>
          <w:szCs w:val="21"/>
        </w:rPr>
        <w:t>’链接，如下图：</w:t>
      </w:r>
    </w:p>
    <w:p>
      <w:pPr>
        <w:adjustRightInd w:val="0"/>
        <w:snapToGrid w:val="0"/>
        <w:ind w:firstLine="480"/>
        <w:contextualSpacing w:val="0"/>
      </w:pPr>
    </w:p>
    <w:p>
      <w:pPr>
        <w:adjustRightInd w:val="0"/>
        <w:snapToGrid w:val="0"/>
        <w:ind w:firstLine="0" w:firstLineChars="0"/>
        <w:contextualSpacing w:val="0"/>
      </w:pPr>
      <w:r>
        <w:drawing>
          <wp:inline distT="0" distB="0" distL="114300" distR="114300">
            <wp:extent cx="6180455" cy="2759710"/>
            <wp:effectExtent l="0" t="0" r="4445" b="8890"/>
            <wp:docPr id="11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3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054" w:firstLineChars="50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（1）操作说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【+】点工作经历右边的“+”弹出新增工作经历页面</w:t>
      </w:r>
    </w:p>
    <w:p>
      <w:pPr>
        <w:ind w:firstLine="0" w:firstLineChars="0"/>
        <w:contextualSpacing w:val="0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6187440" cy="3326765"/>
            <wp:effectExtent l="0" t="0" r="10160" b="635"/>
            <wp:docPr id="11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3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【保存】保存当前页面中输入和选择的信息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【浏览】浏览本地附件信息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【选取文件】上传本地附件至系统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【删除】删除该条信息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【修改】编辑该条信息</w:t>
      </w:r>
    </w:p>
    <w:p>
      <w:pPr>
        <w:pStyle w:val="37"/>
        <w:numPr>
          <w:ilvl w:val="0"/>
          <w:numId w:val="40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ind w:firstLine="420"/>
        <w:rPr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证明人电话输入处进行了电话号码规则校验，必须输入正确的手机号码</w:t>
      </w:r>
    </w:p>
    <w:p>
      <w:pPr>
        <w:pStyle w:val="4"/>
      </w:pPr>
      <w:bookmarkStart w:id="61" w:name="_Toc9536"/>
      <w:r>
        <w:rPr>
          <w:rFonts w:hint="eastAsia"/>
        </w:rPr>
        <w:t>安全负责人界面</w:t>
      </w:r>
      <w:bookmarkEnd w:id="61"/>
    </w:p>
    <w:p>
      <w:pPr>
        <w:ind w:firstLine="420"/>
        <w:rPr>
          <w:rFonts w:ascii="宋体" w:hAnsi="宋体"/>
          <w:sz w:val="21"/>
          <w:szCs w:val="21"/>
          <w:lang w:val="zh-CN"/>
        </w:rPr>
      </w:pPr>
      <w:r>
        <w:rPr>
          <w:rFonts w:hint="eastAsia" w:ascii="宋体" w:hAnsi="宋体"/>
          <w:sz w:val="21"/>
          <w:szCs w:val="21"/>
          <w:lang w:val="zh-CN"/>
        </w:rPr>
        <w:t>企业用户登录系统，点击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="宋体" w:hAnsi="宋体"/>
          <w:sz w:val="21"/>
          <w:szCs w:val="21"/>
          <w:lang w:val="zh-CN"/>
        </w:rPr>
        <w:t>-‘</w:t>
      </w:r>
      <w:r>
        <w:rPr>
          <w:rFonts w:hint="eastAsia" w:ascii="宋体" w:hAnsi="宋体"/>
          <w:b/>
          <w:sz w:val="21"/>
          <w:szCs w:val="21"/>
          <w:lang w:eastAsia="zh-CN"/>
        </w:rPr>
        <w:t>许可证延续申请</w:t>
      </w:r>
      <w:r>
        <w:rPr>
          <w:rFonts w:hint="eastAsia" w:ascii="宋体" w:hAnsi="宋体"/>
          <w:sz w:val="21"/>
          <w:szCs w:val="21"/>
          <w:lang w:val="zh-CN"/>
        </w:rPr>
        <w:t>’-‘</w:t>
      </w:r>
      <w:r>
        <w:rPr>
          <w:rFonts w:hint="eastAsia" w:ascii="宋体" w:hAnsi="宋体"/>
          <w:b/>
          <w:sz w:val="21"/>
          <w:szCs w:val="21"/>
          <w:lang w:val="zh-CN"/>
        </w:rPr>
        <w:t>安全负责人</w:t>
      </w:r>
      <w:r>
        <w:rPr>
          <w:rFonts w:hint="eastAsia" w:ascii="宋体" w:hAnsi="宋体"/>
          <w:sz w:val="21"/>
          <w:szCs w:val="21"/>
          <w:lang w:val="zh-CN"/>
        </w:rPr>
        <w:t>’或点击‘</w:t>
      </w:r>
      <w:r>
        <w:rPr>
          <w:rFonts w:hint="eastAsia" w:ascii="宋体" w:hAnsi="宋体"/>
          <w:b/>
          <w:sz w:val="21"/>
          <w:szCs w:val="21"/>
          <w:lang w:val="zh-CN"/>
        </w:rPr>
        <w:t>技术负责人员</w:t>
      </w:r>
      <w:r>
        <w:rPr>
          <w:rFonts w:hint="eastAsia" w:ascii="宋体" w:hAnsi="宋体"/>
          <w:sz w:val="21"/>
          <w:szCs w:val="21"/>
          <w:lang w:val="zh-CN"/>
        </w:rPr>
        <w:t>’的下一步链接或‘</w:t>
      </w:r>
      <w:r>
        <w:rPr>
          <w:rFonts w:hint="eastAsia" w:ascii="宋体" w:hAnsi="宋体"/>
          <w:b/>
          <w:sz w:val="21"/>
          <w:szCs w:val="21"/>
          <w:lang w:val="zh-CN"/>
        </w:rPr>
        <w:t>安全监督人员</w:t>
      </w:r>
      <w:r>
        <w:rPr>
          <w:rFonts w:hint="eastAsia" w:ascii="宋体" w:hAnsi="宋体"/>
          <w:sz w:val="21"/>
          <w:szCs w:val="21"/>
          <w:lang w:val="zh-CN"/>
        </w:rPr>
        <w:t>’的‘上一步’链接，如下图所示：</w:t>
      </w:r>
    </w:p>
    <w:p>
      <w:pPr>
        <w:adjustRightInd w:val="0"/>
        <w:snapToGrid w:val="0"/>
        <w:ind w:firstLine="0" w:firstLineChars="0"/>
        <w:contextualSpacing w:val="0"/>
        <w:rPr>
          <w:lang w:val="zh-CN"/>
        </w:rPr>
      </w:pPr>
      <w:r>
        <w:drawing>
          <wp:inline distT="0" distB="0" distL="114300" distR="114300">
            <wp:extent cx="6182995" cy="5459095"/>
            <wp:effectExtent l="0" t="0" r="8255" b="8255"/>
            <wp:docPr id="7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545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（1）操作说明</w:t>
      </w:r>
    </w:p>
    <w:p>
      <w:pPr>
        <w:pStyle w:val="37"/>
        <w:numPr>
          <w:ilvl w:val="0"/>
          <w:numId w:val="41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【保存】保存当前界面中输入和选择的数据</w:t>
      </w:r>
    </w:p>
    <w:p>
      <w:pPr>
        <w:pStyle w:val="37"/>
        <w:numPr>
          <w:ilvl w:val="0"/>
          <w:numId w:val="41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【选取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浏览本地文件</w:t>
      </w:r>
    </w:p>
    <w:p>
      <w:pPr>
        <w:pStyle w:val="37"/>
        <w:numPr>
          <w:ilvl w:val="0"/>
          <w:numId w:val="41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【上传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上传本地文件至系统</w:t>
      </w:r>
    </w:p>
    <w:p>
      <w:pPr>
        <w:pStyle w:val="37"/>
        <w:numPr>
          <w:ilvl w:val="0"/>
          <w:numId w:val="41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【工作经历+】新增工作经历界面，如下图：</w:t>
      </w:r>
    </w:p>
    <w:p>
      <w:pPr>
        <w:ind w:firstLine="0" w:firstLineChars="0"/>
        <w:contextualSpacing w:val="0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6186170" cy="3319780"/>
            <wp:effectExtent l="0" t="0" r="11430" b="7620"/>
            <wp:docPr id="12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3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1"/>
          <w:szCs w:val="21"/>
        </w:rPr>
        <w:t>【培训经历+】新增培训经历界面，如下图：</w:t>
      </w:r>
    </w:p>
    <w:p>
      <w:pPr>
        <w:ind w:firstLine="0" w:firstLineChars="0"/>
        <w:contextualSpacing w:val="0"/>
        <w:rPr>
          <w:rFonts w:ascii="宋体" w:hAnsi="宋体"/>
          <w:b/>
          <w:sz w:val="21"/>
          <w:szCs w:val="21"/>
        </w:rPr>
      </w:pPr>
      <w:r>
        <w:drawing>
          <wp:inline distT="0" distB="0" distL="114300" distR="114300">
            <wp:extent cx="6186170" cy="2757170"/>
            <wp:effectExtent l="0" t="0" r="11430" b="11430"/>
            <wp:docPr id="12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3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1"/>
        </w:numPr>
        <w:ind w:left="0" w:firstLine="1134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【删除】删除该条信息</w:t>
      </w:r>
    </w:p>
    <w:p>
      <w:pPr>
        <w:numPr>
          <w:ilvl w:val="0"/>
          <w:numId w:val="41"/>
        </w:numPr>
        <w:ind w:left="0" w:firstLine="1134"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【修改】编辑该条信息</w:t>
      </w:r>
    </w:p>
    <w:p>
      <w:p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（2）数据输入注意事项</w:t>
      </w:r>
    </w:p>
    <w:p>
      <w:pPr>
        <w:pStyle w:val="37"/>
        <w:ind w:left="7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4"/>
      </w:pPr>
      <w:bookmarkStart w:id="62" w:name="_Toc16832"/>
      <w:r>
        <w:rPr>
          <w:rFonts w:hint="eastAsia"/>
          <w:lang w:eastAsia="zh-CN"/>
        </w:rPr>
        <w:t>电力相关技术人员</w:t>
      </w:r>
      <w:bookmarkEnd w:id="62"/>
    </w:p>
    <w:p>
      <w:pPr>
        <w:ind w:firstLine="420"/>
        <w:rPr>
          <w:rFonts w:ascii="宋体" w:hAnsi="宋体"/>
          <w:sz w:val="21"/>
          <w:szCs w:val="21"/>
          <w:lang w:val="zh-CN"/>
        </w:rPr>
      </w:pPr>
      <w:r>
        <w:rPr>
          <w:rFonts w:hint="eastAsia" w:ascii="宋体" w:hAnsi="宋体"/>
          <w:sz w:val="21"/>
          <w:szCs w:val="21"/>
          <w:lang w:val="zh-CN"/>
        </w:rPr>
        <w:t>企业用户登录系统，点击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="宋体" w:hAnsi="宋体"/>
          <w:sz w:val="21"/>
          <w:szCs w:val="21"/>
          <w:lang w:val="zh-CN"/>
        </w:rPr>
        <w:t>-‘</w:t>
      </w:r>
      <w:r>
        <w:rPr>
          <w:rFonts w:hint="eastAsia" w:ascii="宋体" w:hAnsi="宋体"/>
          <w:b/>
          <w:sz w:val="21"/>
          <w:szCs w:val="21"/>
        </w:rPr>
        <w:t>许可</w:t>
      </w:r>
      <w:r>
        <w:rPr>
          <w:rFonts w:hint="eastAsia" w:ascii="宋体" w:hAnsi="宋体"/>
          <w:b/>
          <w:sz w:val="21"/>
          <w:szCs w:val="21"/>
          <w:lang w:eastAsia="zh-CN"/>
        </w:rPr>
        <w:t>证延续申请</w:t>
      </w:r>
      <w:r>
        <w:rPr>
          <w:rFonts w:hint="eastAsia" w:ascii="宋体" w:hAnsi="宋体"/>
          <w:sz w:val="21"/>
          <w:szCs w:val="21"/>
          <w:lang w:val="zh-CN"/>
        </w:rPr>
        <w:t>’-‘</w:t>
      </w:r>
      <w:r>
        <w:rPr>
          <w:rFonts w:hint="eastAsia" w:ascii="宋体" w:hAnsi="宋体"/>
          <w:b/>
          <w:sz w:val="21"/>
          <w:szCs w:val="21"/>
          <w:lang w:val="zh-CN"/>
        </w:rPr>
        <w:t>电力相关技术人员</w:t>
      </w:r>
      <w:r>
        <w:rPr>
          <w:rFonts w:ascii="宋体" w:hAnsi="宋体"/>
          <w:b/>
          <w:sz w:val="21"/>
          <w:szCs w:val="21"/>
          <w:lang w:val="zh-CN"/>
        </w:rPr>
        <w:t>’</w:t>
      </w:r>
      <w:r>
        <w:rPr>
          <w:rFonts w:hint="eastAsia" w:ascii="宋体" w:hAnsi="宋体"/>
          <w:sz w:val="21"/>
          <w:szCs w:val="21"/>
          <w:lang w:val="zh-CN"/>
        </w:rPr>
        <w:t>链接，如下图所示：</w:t>
      </w:r>
    </w:p>
    <w:p>
      <w:pPr>
        <w:ind w:firstLine="0" w:firstLineChars="0"/>
        <w:rPr>
          <w:rFonts w:ascii="宋体" w:hAnsi="宋体"/>
          <w:sz w:val="21"/>
          <w:szCs w:val="21"/>
          <w:lang w:val="zh-CN"/>
        </w:rPr>
      </w:pPr>
      <w:r>
        <w:drawing>
          <wp:inline distT="0" distB="0" distL="114300" distR="114300">
            <wp:extent cx="6179185" cy="3115945"/>
            <wp:effectExtent l="0" t="0" r="12065" b="8255"/>
            <wp:docPr id="7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42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操作说明</w:t>
      </w:r>
    </w:p>
    <w:p>
      <w:pPr>
        <w:pStyle w:val="37"/>
        <w:numPr>
          <w:ilvl w:val="0"/>
          <w:numId w:val="43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  <w:lang w:val="zh-CN"/>
        </w:rPr>
      </w:pP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【保存】保存当前页面中已输入、选择和上传的信息</w:t>
      </w:r>
    </w:p>
    <w:p>
      <w:pPr>
        <w:pStyle w:val="37"/>
        <w:numPr>
          <w:ilvl w:val="0"/>
          <w:numId w:val="43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  <w:lang w:val="zh-CN"/>
        </w:rPr>
      </w:pP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【+】打开新增安全监督人员界面，如下图所示：</w:t>
      </w:r>
    </w:p>
    <w:p>
      <w:pPr>
        <w:ind w:firstLine="0" w:firstLineChars="0"/>
        <w:rPr>
          <w:lang w:val="zh-CN"/>
        </w:rPr>
      </w:pPr>
      <w:r>
        <w:drawing>
          <wp:inline distT="0" distB="0" distL="114300" distR="114300">
            <wp:extent cx="6181090" cy="1878330"/>
            <wp:effectExtent l="0" t="0" r="10160" b="7620"/>
            <wp:docPr id="7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054" w:firstLineChars="50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（2）数据输入注意事项</w:t>
      </w:r>
    </w:p>
    <w:p>
      <w:pPr>
        <w:ind w:left="730" w:leftChars="304" w:firstLine="420"/>
        <w:rPr>
          <w:sz w:val="21"/>
          <w:szCs w:val="21"/>
          <w:lang w:val="zh-CN"/>
        </w:rPr>
      </w:pPr>
      <w:bookmarkStart w:id="63" w:name="_Toc8341"/>
      <w:r>
        <w:rPr>
          <w:rFonts w:hint="eastAsia"/>
          <w:sz w:val="21"/>
          <w:szCs w:val="21"/>
          <w:lang w:val="zh-CN"/>
        </w:rPr>
        <w:t>带“</w:t>
      </w:r>
      <w:r>
        <w:rPr>
          <w:rFonts w:hint="eastAsia"/>
          <w:sz w:val="21"/>
          <w:szCs w:val="21"/>
        </w:rPr>
        <w:t>*</w:t>
      </w:r>
      <w:r>
        <w:rPr>
          <w:rFonts w:hint="eastAsia"/>
          <w:sz w:val="21"/>
          <w:szCs w:val="21"/>
          <w:lang w:val="zh-CN"/>
        </w:rPr>
        <w:t>”为必填项</w:t>
      </w:r>
      <w:bookmarkEnd w:id="63"/>
    </w:p>
    <w:p>
      <w:pPr>
        <w:pStyle w:val="4"/>
      </w:pPr>
      <w:bookmarkStart w:id="64" w:name="_Toc14322"/>
      <w:r>
        <w:rPr>
          <w:rFonts w:hint="eastAsia"/>
          <w:lang w:eastAsia="zh-CN"/>
        </w:rPr>
        <w:t>电力相关专业技能</w:t>
      </w:r>
      <w:r>
        <w:rPr>
          <w:rFonts w:hint="eastAsia"/>
        </w:rPr>
        <w:t>人员界面</w:t>
      </w:r>
      <w:bookmarkEnd w:id="64"/>
    </w:p>
    <w:p>
      <w:pPr>
        <w:ind w:firstLine="420"/>
        <w:rPr>
          <w:rFonts w:asciiTheme="minorEastAsia" w:hAnsiTheme="minorEastAsia" w:eastAsiaTheme="minorEastAsia"/>
          <w:sz w:val="21"/>
          <w:szCs w:val="21"/>
          <w:lang w:val="zh-CN"/>
        </w:rPr>
      </w:pP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企业用户登陆系统，点击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-‘</w:t>
      </w:r>
      <w:r>
        <w:rPr>
          <w:rFonts w:hint="eastAsia" w:ascii="宋体" w:hAnsi="宋体"/>
          <w:b/>
          <w:sz w:val="21"/>
          <w:szCs w:val="21"/>
        </w:rPr>
        <w:t>许可</w:t>
      </w:r>
      <w:r>
        <w:rPr>
          <w:rFonts w:hint="eastAsia" w:ascii="宋体" w:hAnsi="宋体"/>
          <w:b/>
          <w:sz w:val="21"/>
          <w:szCs w:val="21"/>
          <w:lang w:eastAsia="zh-CN"/>
        </w:rPr>
        <w:t>证延续申请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’-‘</w:t>
      </w:r>
      <w:r>
        <w:rPr>
          <w:rFonts w:hint="eastAsia" w:asciiTheme="minorEastAsia" w:hAnsiTheme="minorEastAsia" w:eastAsiaTheme="minorEastAsia"/>
          <w:b/>
          <w:sz w:val="21"/>
          <w:szCs w:val="21"/>
          <w:lang w:val="zh-CN"/>
        </w:rPr>
        <w:t>电力相关专业技能人员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’链接，打开界面如下图所示：</w:t>
      </w:r>
    </w:p>
    <w:p>
      <w:pPr>
        <w:ind w:firstLine="0" w:firstLineChars="0"/>
        <w:rPr>
          <w:lang w:val="zh-CN"/>
        </w:rPr>
      </w:pPr>
      <w:r>
        <w:drawing>
          <wp:inline distT="0" distB="0" distL="114300" distR="114300">
            <wp:extent cx="6181725" cy="3134360"/>
            <wp:effectExtent l="0" t="0" r="9525" b="8890"/>
            <wp:docPr id="7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（1）操作说明</w:t>
      </w:r>
    </w:p>
    <w:p>
      <w:pPr>
        <w:pStyle w:val="37"/>
        <w:ind w:left="420"/>
        <w:contextualSpacing w:val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用户新增持电工进网作业许可证人员后，系统自动汇总持电工进网作业许可证人员总数，并显示；</w:t>
      </w:r>
    </w:p>
    <w:p>
      <w:pPr>
        <w:pStyle w:val="37"/>
        <w:contextualSpacing w:val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电工发证机关添加人员前按下拉框提前选择，在添加电工信息。</w:t>
      </w:r>
    </w:p>
    <w:p>
      <w:pPr>
        <w:ind w:firstLine="420"/>
        <w:contextualSpacing w:val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【+】打开</w:t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asciiTheme="minorEastAsia" w:hAnsiTheme="minorEastAsia" w:eastAsiaTheme="minorEastAsia"/>
          <w:sz w:val="21"/>
          <w:szCs w:val="21"/>
        </w:rPr>
        <w:instrText xml:space="preserve">REF _Ref352317798 \h</w:instrText>
      </w:r>
      <w:r>
        <w:rPr>
          <w:rFonts w:asciiTheme="minorEastAsia" w:hAnsiTheme="minorEastAsia" w:eastAsiaTheme="minorEastAsia"/>
          <w:sz w:val="21"/>
          <w:szCs w:val="21"/>
        </w:rPr>
        <w:instrText xml:space="preserve">  \* MERGEFORMAT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sz w:val="21"/>
          <w:szCs w:val="21"/>
        </w:rPr>
        <w:t>新增电工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hint="eastAsia" w:asciiTheme="minorEastAsia" w:hAnsiTheme="minorEastAsia" w:eastAsiaTheme="minorEastAsia"/>
          <w:sz w:val="21"/>
          <w:szCs w:val="21"/>
        </w:rPr>
        <w:t>界面：</w:t>
      </w:r>
    </w:p>
    <w:p>
      <w:pPr>
        <w:ind w:firstLine="0" w:firstLineChars="0"/>
        <w:contextualSpacing w:val="0"/>
      </w:pPr>
      <w:r>
        <w:drawing>
          <wp:inline distT="0" distB="0" distL="114300" distR="114300">
            <wp:extent cx="6187440" cy="2299970"/>
            <wp:effectExtent l="0" t="0" r="3810" b="5080"/>
            <wp:docPr id="7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4"/>
        </w:numPr>
        <w:ind w:left="0" w:firstLine="1134" w:firstLineChars="0"/>
        <w:contextualSpacing w:val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【编辑】可编辑修改此条持电工进网作业许可证人员信息</w:t>
      </w:r>
    </w:p>
    <w:p>
      <w:pPr>
        <w:numPr>
          <w:ilvl w:val="0"/>
          <w:numId w:val="44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【删除】删除此条持电工进网作业许可证人员信息</w:t>
      </w:r>
    </w:p>
    <w:p>
      <w:pPr>
        <w:ind w:firstLine="422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（2）数据输入注意事项</w:t>
      </w:r>
    </w:p>
    <w:p>
      <w:pPr>
        <w:ind w:left="422"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电工注册页面中的身份证号码不能重复，此处做了唯一校验，即同一个电工的身份证号码只能使用一次。</w:t>
      </w:r>
    </w:p>
    <w:p>
      <w:pPr>
        <w:pStyle w:val="4"/>
      </w:pPr>
      <w:bookmarkStart w:id="65" w:name="_Toc20920"/>
      <w:r>
        <w:rPr>
          <w:rFonts w:hint="eastAsia"/>
          <w:lang w:eastAsia="zh-CN"/>
        </w:rPr>
        <w:t>规定年限内主要业绩</w:t>
      </w:r>
      <w:bookmarkEnd w:id="65"/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企业用户登陆系统，点击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Theme="minorEastAsia" w:hAnsiTheme="minorEastAsia" w:eastAsiaTheme="minorEastAsia"/>
          <w:sz w:val="21"/>
          <w:szCs w:val="21"/>
        </w:rPr>
        <w:t>-‘</w:t>
      </w:r>
      <w:r>
        <w:rPr>
          <w:rFonts w:hint="eastAsia" w:ascii="宋体" w:hAnsi="宋体"/>
          <w:b/>
          <w:sz w:val="21"/>
          <w:szCs w:val="21"/>
        </w:rPr>
        <w:t>许可事项变更</w:t>
      </w:r>
      <w:r>
        <w:rPr>
          <w:rFonts w:hint="eastAsia" w:asciiTheme="minorEastAsia" w:hAnsiTheme="minorEastAsia" w:eastAsiaTheme="minorEastAsia"/>
          <w:sz w:val="21"/>
          <w:szCs w:val="21"/>
        </w:rPr>
        <w:t>’-‘</w:t>
      </w:r>
      <w:r>
        <w:rPr>
          <w:rFonts w:hint="eastAsia" w:asciiTheme="minorEastAsia" w:hAnsiTheme="minorEastAsia" w:eastAsiaTheme="minorEastAsia"/>
          <w:b/>
          <w:sz w:val="21"/>
          <w:szCs w:val="21"/>
        </w:rPr>
        <w:t>工程业绩</w:t>
      </w:r>
      <w:r>
        <w:rPr>
          <w:rFonts w:hint="eastAsia" w:asciiTheme="minorEastAsia" w:hAnsiTheme="minorEastAsia" w:eastAsiaTheme="minorEastAsia"/>
          <w:sz w:val="21"/>
          <w:szCs w:val="21"/>
        </w:rPr>
        <w:t>’链接，页面如下图所示：</w:t>
      </w:r>
    </w:p>
    <w:p>
      <w:pPr>
        <w:adjustRightInd w:val="0"/>
        <w:snapToGrid w:val="0"/>
        <w:ind w:firstLine="0" w:firstLineChars="0"/>
        <w:contextualSpacing w:val="0"/>
        <w:rPr>
          <w:rFonts w:asciiTheme="minorEastAsia" w:hAnsiTheme="minorEastAsia" w:eastAsiaTheme="minorEastAsia"/>
          <w:b/>
          <w:sz w:val="21"/>
          <w:szCs w:val="21"/>
        </w:rPr>
      </w:pPr>
      <w:r>
        <w:drawing>
          <wp:inline distT="0" distB="0" distL="114300" distR="114300">
            <wp:extent cx="6182360" cy="3908425"/>
            <wp:effectExtent l="0" t="0" r="8890" b="15875"/>
            <wp:docPr id="8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390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843" w:firstLineChars="400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（1）操作说明</w:t>
      </w:r>
    </w:p>
    <w:p>
      <w:pPr>
        <w:ind w:firstLine="480"/>
      </w:pPr>
      <w:r>
        <w:rPr>
          <w:rFonts w:hint="eastAsia"/>
        </w:rPr>
        <w:t>用户新增工程业绩表后，系统按照工程电压等级自动汇总工程业绩表总数，并显示。</w:t>
      </w:r>
    </w:p>
    <w:p>
      <w:pPr>
        <w:numPr>
          <w:ilvl w:val="0"/>
          <w:numId w:val="45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【保存】保存当前页面中已输入、选择和上传的信息</w:t>
      </w:r>
    </w:p>
    <w:p>
      <w:pPr>
        <w:numPr>
          <w:ilvl w:val="0"/>
          <w:numId w:val="45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【+】打开新增工程业绩表界面，如下图所示：</w:t>
      </w:r>
    </w:p>
    <w:p>
      <w:pPr>
        <w:ind w:firstLine="0" w:firstLineChars="0"/>
      </w:pPr>
      <w:r>
        <w:drawing>
          <wp:inline distT="0" distB="0" distL="114300" distR="114300">
            <wp:extent cx="6183630" cy="2673985"/>
            <wp:effectExtent l="0" t="0" r="7620" b="12065"/>
            <wp:docPr id="8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6184900" cy="2127885"/>
            <wp:effectExtent l="0" t="0" r="6350" b="5715"/>
            <wp:docPr id="8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numPr>
          <w:ilvl w:val="0"/>
          <w:numId w:val="46"/>
        </w:num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【删除】删除该条工程业绩信息</w:t>
      </w:r>
    </w:p>
    <w:p>
      <w:pPr>
        <w:numPr>
          <w:ilvl w:val="0"/>
          <w:numId w:val="46"/>
        </w:num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【修改】编辑该条工程业绩信息</w:t>
      </w:r>
    </w:p>
    <w:p>
      <w:pPr>
        <w:numPr>
          <w:ilvl w:val="0"/>
          <w:numId w:val="46"/>
        </w:num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【选取文件】浏览本地文件</w:t>
      </w:r>
    </w:p>
    <w:p>
      <w:pPr>
        <w:numPr>
          <w:ilvl w:val="0"/>
          <w:numId w:val="46"/>
        </w:num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【上传】上传本地文件至系统</w:t>
      </w:r>
    </w:p>
    <w:p>
      <w:pPr>
        <w:ind w:firstLine="422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（2）数据输入注意事项</w:t>
      </w:r>
    </w:p>
    <w:p>
      <w:pPr>
        <w:ind w:left="521" w:leftChars="217" w:firstLine="420"/>
        <w:rPr>
          <w:rFonts w:asciiTheme="minorEastAsia" w:hAnsiTheme="minorEastAsia" w:eastAsiaTheme="minorEastAsia"/>
          <w:sz w:val="21"/>
          <w:szCs w:val="21"/>
        </w:rPr>
      </w:pPr>
      <w:bookmarkStart w:id="66" w:name="_Toc23747"/>
      <w:r>
        <w:rPr>
          <w:rFonts w:hint="eastAsia" w:asciiTheme="minorEastAsia" w:hAnsiTheme="minorEastAsia" w:eastAsiaTheme="minorEastAsia"/>
          <w:sz w:val="21"/>
          <w:szCs w:val="21"/>
        </w:rPr>
        <w:t>带“*”为必填项</w:t>
      </w:r>
      <w:bookmarkEnd w:id="66"/>
    </w:p>
    <w:p>
      <w:pPr>
        <w:pStyle w:val="4"/>
        <w:rPr>
          <w:lang w:val="en-US"/>
        </w:rPr>
      </w:pPr>
      <w:bookmarkStart w:id="67" w:name="_Toc12544"/>
      <w:r>
        <w:rPr>
          <w:rFonts w:hint="eastAsia"/>
          <w:lang w:val="en-US"/>
        </w:rPr>
        <w:t>资料提交</w:t>
      </w:r>
      <w:bookmarkEnd w:id="67"/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  资料填报完以后，进入资料提交，校验提交的资料是否符合申请要求，不符合的会提示不符合项，需按要求修改后才能提交；符合的点资料提交到形审。</w:t>
      </w:r>
    </w:p>
    <w:p>
      <w:pPr>
        <w:pStyle w:val="4"/>
      </w:pPr>
      <w:bookmarkStart w:id="68" w:name="_Toc26699"/>
      <w:r>
        <w:rPr>
          <w:rFonts w:hint="eastAsia"/>
        </w:rPr>
        <w:t>自贸区</w:t>
      </w:r>
      <w:bookmarkEnd w:id="68"/>
    </w:p>
    <w:p>
      <w:pPr>
        <w:ind w:firstLine="420"/>
        <w:rPr>
          <w:rFonts w:hint="eastAsia"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未持证企业首次申请许可证或已注销企业再次申请许可证，信用情况良好，且是自贸区试点范围内的企业，可以按照自贸区业务办理流程申请。</w:t>
      </w:r>
    </w:p>
    <w:p>
      <w:pPr>
        <w:ind w:firstLine="0" w:firstLineChars="0"/>
      </w:pPr>
      <w:r>
        <w:rPr>
          <w:rFonts w:hint="eastAsia"/>
        </w:rPr>
        <w:t>【</w:t>
      </w:r>
      <w:r>
        <w:rPr>
          <w:rFonts w:hint="eastAsia"/>
          <w:b/>
          <w:bCs/>
        </w:rPr>
        <w:t>改革措施</w:t>
      </w:r>
      <w:r>
        <w:rPr>
          <w:rFonts w:hint="eastAsia"/>
        </w:rPr>
        <w:t>】</w:t>
      </w:r>
    </w:p>
    <w:p>
      <w:pPr>
        <w:numPr>
          <w:ilvl w:val="0"/>
          <w:numId w:val="47"/>
        </w:numPr>
        <w:ind w:firstLine="480"/>
        <w:rPr>
          <w:rFonts w:ascii="宋体" w:hAnsi="宋体" w:cs="宋体"/>
          <w:szCs w:val="24"/>
        </w:rPr>
      </w:pPr>
      <w:r>
        <w:rPr>
          <w:rFonts w:ascii="宋体" w:hAnsi="宋体" w:cs="宋体"/>
          <w:szCs w:val="24"/>
        </w:rPr>
        <w:t xml:space="preserve">全程网上办理． </w:t>
      </w:r>
    </w:p>
    <w:p>
      <w:pPr>
        <w:numPr>
          <w:ilvl w:val="0"/>
          <w:numId w:val="47"/>
        </w:numPr>
        <w:ind w:firstLine="480"/>
        <w:rPr>
          <w:sz w:val="22"/>
          <w:szCs w:val="21"/>
        </w:rPr>
      </w:pPr>
      <w:r>
        <w:rPr>
          <w:rFonts w:ascii="宋体" w:hAnsi="宋体" w:cs="宋体"/>
          <w:szCs w:val="24"/>
        </w:rPr>
        <w:t xml:space="preserve">精简许可条件和申请材料（同新申请改革措施）. 许效 可 期 证延 有续 </w:t>
      </w:r>
    </w:p>
    <w:p>
      <w:pPr>
        <w:numPr>
          <w:ilvl w:val="0"/>
          <w:numId w:val="47"/>
        </w:numPr>
        <w:ind w:firstLine="480"/>
        <w:rPr>
          <w:sz w:val="22"/>
          <w:szCs w:val="21"/>
        </w:rPr>
      </w:pPr>
      <w:r>
        <w:rPr>
          <w:rFonts w:ascii="宋体" w:hAnsi="宋体" w:cs="宋体"/>
          <w:szCs w:val="24"/>
        </w:rPr>
        <w:t>压减审批时限：审批时限由 20 日压减至 10 日</w:t>
      </w:r>
      <w:r>
        <w:rPr>
          <w:rFonts w:hint="eastAsia" w:ascii="宋体" w:hAnsi="宋体" w:cs="宋体"/>
          <w:szCs w:val="24"/>
        </w:rPr>
        <w:t>.</w:t>
      </w:r>
    </w:p>
    <w:p>
      <w:pPr>
        <w:pStyle w:val="37"/>
        <w:numPr>
          <w:ilvl w:val="0"/>
          <w:numId w:val="20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37"/>
        <w:numPr>
          <w:ilvl w:val="0"/>
          <w:numId w:val="21"/>
        </w:numPr>
        <w:spacing w:line="300" w:lineRule="auto"/>
        <w:ind w:firstLineChars="0"/>
        <w:rPr>
          <w:rFonts w:ascii="宋体" w:hAnsi="宋体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37"/>
        <w:numPr>
          <w:ilvl w:val="0"/>
          <w:numId w:val="20"/>
        </w:numPr>
        <w:spacing w:line="300" w:lineRule="auto"/>
        <w:ind w:firstLineChars="0"/>
        <w:contextualSpacing w:val="0"/>
        <w:rPr>
          <w:rFonts w:ascii="宋体" w:hAnsi="宋体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操作说</w:t>
      </w:r>
      <w:r>
        <w:rPr>
          <w:rFonts w:ascii="宋体" w:hAnsi="宋体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明</w:t>
      </w:r>
    </w:p>
    <w:p>
      <w:pPr>
        <w:pStyle w:val="37"/>
        <w:numPr>
          <w:ilvl w:val="0"/>
          <w:numId w:val="3"/>
        </w:numPr>
        <w:spacing w:line="300" w:lineRule="auto"/>
        <w:ind w:left="839" w:hanging="357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登录系统进入首页后，点击页面下方“承装修试业务许可申请”标题中的“许可延续申请”，系统调用信用能源接口，查企业征信，符合条件企业弹出提示框，点击确定，进入自贸区申请填报页面，点击取消，将关闭弹框。</w:t>
      </w:r>
    </w:p>
    <w:p>
      <w:pPr>
        <w:ind w:firstLine="0" w:firstLineChars="0"/>
        <w:jc w:val="center"/>
        <w:rPr>
          <w:rFonts w:ascii="宋体" w:hAnsi="宋体"/>
          <w:sz w:val="21"/>
          <w:szCs w:val="21"/>
        </w:rPr>
      </w:pPr>
      <w:r>
        <w:drawing>
          <wp:inline distT="0" distB="0" distL="0" distR="0">
            <wp:extent cx="4152900" cy="16319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53113" cy="163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80" w:leftChars="200" w:firstLine="0" w:firstLineChars="0"/>
        <w:rPr>
          <w:rFonts w:ascii="Cambria" w:hAnsi="Cambria"/>
          <w:b/>
          <w:bCs/>
          <w:sz w:val="32"/>
          <w:szCs w:val="32"/>
        </w:rPr>
      </w:pPr>
    </w:p>
    <w:p>
      <w:pPr>
        <w:pStyle w:val="3"/>
      </w:pPr>
      <w:bookmarkStart w:id="69" w:name="_Toc29237"/>
      <w:r>
        <w:rPr>
          <w:rFonts w:hint="eastAsia"/>
        </w:rPr>
        <w:t>许可证补（换）证申请</w:t>
      </w:r>
      <w:bookmarkEnd w:id="69"/>
    </w:p>
    <w:p>
      <w:pPr>
        <w:ind w:firstLine="420"/>
        <w:rPr>
          <w:lang w:val="zh-CN"/>
        </w:rPr>
      </w:pP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企业用户登陆系统，点击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-‘</w:t>
      </w:r>
      <w:r>
        <w:rPr>
          <w:rFonts w:hint="eastAsia" w:asciiTheme="minorEastAsia" w:hAnsiTheme="minorEastAsia" w:eastAsiaTheme="minorEastAsia"/>
          <w:b/>
          <w:sz w:val="21"/>
          <w:szCs w:val="21"/>
          <w:lang w:val="zh-CN"/>
        </w:rPr>
        <w:t>许可证补（换）证申请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’链接，页面打开后如下图显示</w:t>
      </w:r>
      <w:r>
        <w:rPr>
          <w:rFonts w:hint="eastAsia"/>
          <w:lang w:val="zh-CN"/>
        </w:rPr>
        <w:t>：</w:t>
      </w:r>
    </w:p>
    <w:p>
      <w:pPr>
        <w:ind w:firstLine="0" w:firstLineChars="0"/>
        <w:rPr>
          <w:lang w:val="zh-CN"/>
        </w:rPr>
      </w:pPr>
      <w:r>
        <w:drawing>
          <wp:inline distT="0" distB="0" distL="114300" distR="114300">
            <wp:extent cx="6179185" cy="4634230"/>
            <wp:effectExtent l="0" t="0" r="12065" b="13970"/>
            <wp:docPr id="8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463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（1）操作说明</w:t>
      </w:r>
    </w:p>
    <w:p>
      <w:pPr>
        <w:numPr>
          <w:ilvl w:val="0"/>
          <w:numId w:val="48"/>
        </w:num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【保存】保存当前页面中填写的信息和已上传的附件信息</w:t>
      </w:r>
    </w:p>
    <w:p>
      <w:pPr>
        <w:numPr>
          <w:ilvl w:val="0"/>
          <w:numId w:val="48"/>
        </w:num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【进入资料提交排队】外网数据填报完毕，提交数据至审批</w:t>
      </w:r>
    </w:p>
    <w:p>
      <w:pPr>
        <w:numPr>
          <w:ilvl w:val="0"/>
          <w:numId w:val="48"/>
        </w:num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【选取文件】浏览本地文件</w:t>
      </w:r>
    </w:p>
    <w:p>
      <w:pPr>
        <w:numPr>
          <w:ilvl w:val="0"/>
          <w:numId w:val="48"/>
        </w:num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【上传】上传本地文件至系统</w:t>
      </w:r>
    </w:p>
    <w:p>
      <w:pPr>
        <w:ind w:firstLine="422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（2）数据输入注意事项</w:t>
      </w:r>
    </w:p>
    <w:p>
      <w:pPr>
        <w:ind w:firstLine="420"/>
        <w:rPr>
          <w:rFonts w:asciiTheme="minorEastAsia" w:hAnsiTheme="minorEastAsia" w:eastAsiaTheme="minorEastAsia"/>
          <w:sz w:val="21"/>
          <w:szCs w:val="21"/>
          <w:lang w:val="zh-CN"/>
        </w:rPr>
      </w:pP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申请类别：下拉框选择申请类别，按照申请类别填报相关信息。</w:t>
      </w:r>
    </w:p>
    <w:p>
      <w:pPr>
        <w:pStyle w:val="4"/>
      </w:pPr>
      <w:bookmarkStart w:id="70" w:name="_Toc30599"/>
      <w:r>
        <w:rPr>
          <w:rFonts w:hint="eastAsia"/>
        </w:rPr>
        <w:t>自贸区</w:t>
      </w:r>
      <w:bookmarkEnd w:id="70"/>
    </w:p>
    <w:p>
      <w:pPr>
        <w:ind w:firstLine="420"/>
        <w:rPr>
          <w:rFonts w:hint="eastAsia"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未持证企业首次申请许可证或已注销企业再次申请许可证，信用情况良好，且是自贸区试点范围内的企业，可以按照自贸区业务办理流程申请。</w:t>
      </w:r>
    </w:p>
    <w:p>
      <w:pPr>
        <w:ind w:firstLine="0" w:firstLineChars="0"/>
      </w:pPr>
      <w:r>
        <w:rPr>
          <w:rFonts w:hint="eastAsia"/>
        </w:rPr>
        <w:t>【</w:t>
      </w:r>
      <w:r>
        <w:rPr>
          <w:rFonts w:hint="eastAsia"/>
          <w:b/>
          <w:bCs/>
        </w:rPr>
        <w:t>改革措施</w:t>
      </w:r>
      <w:r>
        <w:rPr>
          <w:rFonts w:hint="eastAsia"/>
        </w:rPr>
        <w:t>】</w:t>
      </w:r>
    </w:p>
    <w:p>
      <w:pPr>
        <w:numPr>
          <w:ilvl w:val="0"/>
          <w:numId w:val="49"/>
        </w:numPr>
        <w:ind w:firstLine="480"/>
        <w:rPr>
          <w:rFonts w:ascii="宋体" w:hAnsi="宋体" w:cs="宋体"/>
          <w:szCs w:val="24"/>
        </w:rPr>
      </w:pPr>
      <w:r>
        <w:rPr>
          <w:rFonts w:ascii="宋体" w:hAnsi="宋体" w:cs="宋体"/>
          <w:szCs w:val="24"/>
        </w:rPr>
        <w:t>全程网上办理．</w:t>
      </w:r>
    </w:p>
    <w:p>
      <w:pPr>
        <w:numPr>
          <w:ilvl w:val="0"/>
          <w:numId w:val="49"/>
        </w:numPr>
        <w:ind w:firstLine="480"/>
        <w:rPr>
          <w:sz w:val="22"/>
          <w:szCs w:val="21"/>
        </w:rPr>
      </w:pPr>
      <w:r>
        <w:rPr>
          <w:rFonts w:ascii="宋体" w:hAnsi="宋体" w:cs="宋体"/>
          <w:szCs w:val="24"/>
        </w:rPr>
        <w:t xml:space="preserve">精简申请材料：不再要求申请人提供法人营业执 照复印件，通过部门信息共享或网络查验获取有关 信息；不再要求申请人在规定的媒体上刊登遗失声 明，由许可机关在官方网站发布公告。 </w:t>
      </w:r>
    </w:p>
    <w:p>
      <w:pPr>
        <w:numPr>
          <w:ilvl w:val="0"/>
          <w:numId w:val="49"/>
        </w:numPr>
        <w:ind w:firstLine="480"/>
        <w:rPr>
          <w:sz w:val="22"/>
          <w:szCs w:val="21"/>
        </w:rPr>
      </w:pPr>
      <w:r>
        <w:rPr>
          <w:rFonts w:ascii="宋体" w:hAnsi="宋体" w:cs="宋体"/>
          <w:szCs w:val="24"/>
        </w:rPr>
        <w:t>压减审批时限：具备条件的在受理当日补发许可 证，不需经行政许可委员会审议，采用由派出能源 监管机构负责人直接签批方式办理．</w:t>
      </w:r>
    </w:p>
    <w:p>
      <w:pPr>
        <w:pStyle w:val="37"/>
        <w:numPr>
          <w:ilvl w:val="0"/>
          <w:numId w:val="20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37"/>
        <w:numPr>
          <w:ilvl w:val="0"/>
          <w:numId w:val="21"/>
        </w:numPr>
        <w:spacing w:line="300" w:lineRule="auto"/>
        <w:ind w:firstLineChars="0"/>
        <w:rPr>
          <w:rFonts w:ascii="宋体" w:hAnsi="宋体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37"/>
        <w:numPr>
          <w:ilvl w:val="0"/>
          <w:numId w:val="20"/>
        </w:numPr>
        <w:spacing w:line="300" w:lineRule="auto"/>
        <w:ind w:firstLineChars="0"/>
        <w:contextualSpacing w:val="0"/>
        <w:rPr>
          <w:rFonts w:ascii="宋体" w:hAnsi="宋体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操作说</w:t>
      </w:r>
      <w:r>
        <w:rPr>
          <w:rFonts w:ascii="宋体" w:hAnsi="宋体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明</w:t>
      </w:r>
    </w:p>
    <w:p>
      <w:pPr>
        <w:pStyle w:val="37"/>
        <w:numPr>
          <w:ilvl w:val="0"/>
          <w:numId w:val="3"/>
        </w:numPr>
        <w:spacing w:line="300" w:lineRule="auto"/>
        <w:ind w:left="839" w:hanging="357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登录系统进入首页后，点击页面下方“承装修试业务许可申请”标题中的“许可证补(换</w:t>
      </w:r>
      <w:r>
        <w:rPr>
          <w:rFonts w:ascii="宋体" w:hAnsi="宋体"/>
          <w:sz w:val="21"/>
          <w:szCs w:val="21"/>
        </w:rPr>
        <w:t>)</w:t>
      </w:r>
      <w:r>
        <w:rPr>
          <w:rFonts w:hint="eastAsia" w:ascii="宋体" w:hAnsi="宋体"/>
          <w:sz w:val="21"/>
          <w:szCs w:val="21"/>
        </w:rPr>
        <w:t>证申请”，系统调用信用能源接口，查企业征信，符合条件企业弹出提示框，点击确定，进入自贸区申请填报页面，点击取消，将关闭弹框。</w:t>
      </w:r>
    </w:p>
    <w:p>
      <w:pPr>
        <w:ind w:firstLine="0" w:firstLineChars="0"/>
        <w:jc w:val="center"/>
        <w:rPr>
          <w:rFonts w:ascii="宋体" w:hAnsi="宋体"/>
          <w:sz w:val="21"/>
          <w:szCs w:val="21"/>
        </w:rPr>
      </w:pPr>
      <w:r>
        <w:drawing>
          <wp:inline distT="0" distB="0" distL="0" distR="0">
            <wp:extent cx="4152900" cy="163195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53113" cy="163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80" w:leftChars="200" w:firstLine="0" w:firstLineChars="0"/>
      </w:pPr>
    </w:p>
    <w:p>
      <w:pPr>
        <w:pStyle w:val="3"/>
        <w:rPr>
          <w:lang w:val="en-US"/>
        </w:rPr>
      </w:pPr>
      <w:bookmarkStart w:id="71" w:name="_Toc9995"/>
      <w:r>
        <w:rPr>
          <w:rFonts w:hint="eastAsia"/>
          <w:lang w:val="en-US"/>
        </w:rPr>
        <w:t>许可证注销</w:t>
      </w:r>
      <w:bookmarkEnd w:id="71"/>
    </w:p>
    <w:p>
      <w:pPr>
        <w:ind w:firstLine="420"/>
        <w:rPr>
          <w:lang w:val="zh-CN"/>
        </w:rPr>
      </w:pP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企业用户登陆系统，点击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bCs/>
          <w:sz w:val="21"/>
          <w:szCs w:val="21"/>
        </w:rPr>
        <w:t>承装（修、试）业务</w:t>
      </w:r>
      <w:r>
        <w:rPr>
          <w:rFonts w:hint="eastAsia" w:ascii="宋体" w:hAnsi="宋体"/>
          <w:b/>
          <w:sz w:val="21"/>
          <w:szCs w:val="21"/>
        </w:rPr>
        <w:t>许可申请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-‘</w:t>
      </w:r>
      <w:r>
        <w:rPr>
          <w:rFonts w:hint="eastAsia" w:asciiTheme="minorEastAsia" w:hAnsiTheme="minorEastAsia" w:eastAsiaTheme="minorEastAsia"/>
          <w:b/>
          <w:sz w:val="21"/>
          <w:szCs w:val="21"/>
          <w:lang w:val="zh-CN"/>
        </w:rPr>
        <w:t>许可证注销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’链接，页面打开后如下图显示</w:t>
      </w:r>
      <w:r>
        <w:rPr>
          <w:rFonts w:hint="eastAsia"/>
          <w:lang w:val="zh-CN"/>
        </w:rPr>
        <w:t>：</w:t>
      </w:r>
    </w:p>
    <w:p>
      <w:pPr>
        <w:adjustRightInd w:val="0"/>
        <w:snapToGrid w:val="0"/>
        <w:ind w:firstLine="0" w:firstLineChars="0"/>
        <w:contextualSpacing w:val="0"/>
      </w:pPr>
      <w:r>
        <w:drawing>
          <wp:inline distT="0" distB="0" distL="114300" distR="114300">
            <wp:extent cx="6187440" cy="2989580"/>
            <wp:effectExtent l="0" t="0" r="1016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0" w:firstLineChars="0"/>
        <w:contextualSpacing w:val="0"/>
      </w:pPr>
      <w:r>
        <w:drawing>
          <wp:inline distT="0" distB="0" distL="114300" distR="114300">
            <wp:extent cx="6179185" cy="1661160"/>
            <wp:effectExtent l="0" t="0" r="5715" b="254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0" w:firstLineChars="0"/>
        <w:contextualSpacing w:val="0"/>
        <w:rPr>
          <w:lang w:val="zh-CN"/>
        </w:rPr>
      </w:pPr>
      <w:r>
        <w:drawing>
          <wp:inline distT="0" distB="0" distL="114300" distR="114300">
            <wp:extent cx="6186170" cy="3038475"/>
            <wp:effectExtent l="0" t="0" r="11430" b="952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（1）操作说明</w:t>
      </w:r>
    </w:p>
    <w:p>
      <w:pPr>
        <w:numPr>
          <w:ilvl w:val="0"/>
          <w:numId w:val="50"/>
        </w:num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【保存】保存当前页面中填写的信息和已上传的附件信息</w:t>
      </w:r>
    </w:p>
    <w:p>
      <w:pPr>
        <w:numPr>
          <w:ilvl w:val="0"/>
          <w:numId w:val="50"/>
        </w:num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【进入资料提交排队】外网数据填报完毕，提交数据至审批</w:t>
      </w:r>
    </w:p>
    <w:p>
      <w:pPr>
        <w:numPr>
          <w:ilvl w:val="0"/>
          <w:numId w:val="50"/>
        </w:num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【选取文件】浏览本地文件</w:t>
      </w:r>
    </w:p>
    <w:p>
      <w:pPr>
        <w:numPr>
          <w:ilvl w:val="0"/>
          <w:numId w:val="50"/>
        </w:num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【上传】上传本地文件至系统</w:t>
      </w:r>
    </w:p>
    <w:p>
      <w:pPr>
        <w:ind w:firstLine="422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（2）数据输入注意事项</w:t>
      </w:r>
    </w:p>
    <w:p>
      <w:pPr>
        <w:numPr>
          <w:ilvl w:val="0"/>
          <w:numId w:val="50"/>
        </w:numPr>
        <w:ind w:firstLine="480"/>
        <w:rPr>
          <w:lang w:val="zh-CN"/>
        </w:rPr>
      </w:pPr>
      <w:r>
        <w:rPr>
          <w:rFonts w:hint="eastAsia"/>
          <w:lang w:val="zh-CN"/>
        </w:rPr>
        <w:t>【企业信息】，【联系方式】是从企业注册时的信息带过来的，不可修改。要修改需进入“我的信息”—“企业信息修改”页面；</w:t>
      </w:r>
    </w:p>
    <w:p>
      <w:pPr>
        <w:ind w:firstLine="480"/>
      </w:pPr>
      <w:r>
        <w:rPr>
          <w:rFonts w:hint="eastAsia"/>
        </w:rPr>
        <w:t>【注销事项】：填写注销事项。</w:t>
      </w:r>
    </w:p>
    <w:p>
      <w:pPr>
        <w:ind w:left="480" w:leftChars="200" w:firstLine="480"/>
        <w:rPr>
          <w:lang w:val="zh-CN"/>
        </w:rPr>
      </w:pPr>
      <w:r>
        <w:rPr>
          <w:rFonts w:hint="eastAsia"/>
        </w:rPr>
        <w:t>带“*”为必填项。</w:t>
      </w:r>
    </w:p>
    <w:p>
      <w:pPr>
        <w:pStyle w:val="3"/>
        <w:rPr>
          <w:lang w:val="en-US"/>
        </w:rPr>
      </w:pPr>
      <w:bookmarkStart w:id="72" w:name="_Toc8198"/>
      <w:r>
        <w:rPr>
          <w:rFonts w:hint="eastAsia"/>
          <w:lang w:val="en-US"/>
        </w:rPr>
        <w:t>人员变更申请</w:t>
      </w:r>
      <w:bookmarkEnd w:id="72"/>
    </w:p>
    <w:p>
      <w:pPr>
        <w:ind w:firstLine="480"/>
        <w:rPr>
          <w:rFonts w:asciiTheme="minorEastAsia" w:hAnsiTheme="minorEastAsia" w:eastAsiaTheme="minorEastAsia"/>
          <w:sz w:val="21"/>
          <w:szCs w:val="21"/>
          <w:lang w:val="zh-CN"/>
        </w:rPr>
      </w:pPr>
      <w:r>
        <w:rPr>
          <w:rFonts w:hint="eastAsia"/>
        </w:rPr>
        <w:t xml:space="preserve">   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企业用户登陆系统，点击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bCs/>
          <w:sz w:val="21"/>
          <w:szCs w:val="21"/>
        </w:rPr>
        <w:t>承装（修、试）业务</w:t>
      </w:r>
      <w:r>
        <w:rPr>
          <w:rFonts w:hint="eastAsia" w:ascii="宋体" w:hAnsi="宋体"/>
          <w:b/>
          <w:sz w:val="21"/>
          <w:szCs w:val="21"/>
        </w:rPr>
        <w:t>许可申请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-‘</w:t>
      </w:r>
      <w:r>
        <w:rPr>
          <w:rFonts w:hint="eastAsia" w:asciiTheme="minorEastAsia" w:hAnsiTheme="minorEastAsia" w:eastAsiaTheme="minorEastAsia"/>
          <w:b/>
          <w:sz w:val="21"/>
          <w:szCs w:val="21"/>
          <w:lang w:val="zh-CN"/>
        </w:rPr>
        <w:t>人员变更申请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’链接，页面打开后如下图显示：</w:t>
      </w:r>
    </w:p>
    <w:p>
      <w:pPr>
        <w:ind w:firstLine="0" w:firstLineChars="0"/>
      </w:pPr>
      <w:bookmarkStart w:id="73" w:name="_Toc537"/>
      <w:r>
        <w:drawing>
          <wp:inline distT="0" distB="0" distL="114300" distR="114300">
            <wp:extent cx="6183630" cy="2487295"/>
            <wp:effectExtent l="0" t="0" r="1270" b="1905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3"/>
    </w:p>
    <w:p>
      <w:pPr>
        <w:numPr>
          <w:ilvl w:val="0"/>
          <w:numId w:val="51"/>
        </w:numPr>
        <w:ind w:firstLine="482"/>
        <w:rPr>
          <w:b/>
          <w:bCs/>
        </w:rPr>
      </w:pPr>
      <w:r>
        <w:rPr>
          <w:rFonts w:hint="eastAsia"/>
          <w:b/>
          <w:bCs/>
        </w:rPr>
        <w:t>操作说明</w:t>
      </w:r>
    </w:p>
    <w:p>
      <w:pPr>
        <w:ind w:firstLine="482"/>
      </w:pPr>
      <w:r>
        <w:rPr>
          <w:rFonts w:hint="eastAsia"/>
          <w:b/>
          <w:bCs/>
        </w:rPr>
        <w:t xml:space="preserve">      </w:t>
      </w:r>
      <w:r>
        <w:rPr>
          <w:rFonts w:hint="eastAsia"/>
        </w:rPr>
        <w:t xml:space="preserve"> 持证企业人员变动，入职或离职，需在此做申请。</w:t>
      </w:r>
    </w:p>
    <w:p>
      <w:pPr>
        <w:ind w:firstLine="480"/>
      </w:pPr>
      <w:r>
        <w:rPr>
          <w:rFonts w:hint="eastAsia"/>
        </w:rPr>
        <w:t xml:space="preserve">   【人员离职申请】：点击人员离职申请右边的“+”，弹出申请时人员信息，如下图：</w:t>
      </w:r>
    </w:p>
    <w:p>
      <w:pPr>
        <w:ind w:firstLine="0" w:firstLineChars="0"/>
      </w:pPr>
      <w:r>
        <w:drawing>
          <wp:inline distT="0" distB="0" distL="114300" distR="114300">
            <wp:extent cx="6186805" cy="2825115"/>
            <wp:effectExtent l="0" t="0" r="10795" b="6985"/>
            <wp:docPr id="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2"/>
        </w:numPr>
        <w:ind w:firstLine="480"/>
      </w:pPr>
      <w:r>
        <w:rPr>
          <w:rFonts w:hint="eastAsia"/>
        </w:rPr>
        <w:t>【查询】输入查询条件查询要离职的人员。</w:t>
      </w:r>
    </w:p>
    <w:p>
      <w:pPr>
        <w:numPr>
          <w:ilvl w:val="0"/>
          <w:numId w:val="52"/>
        </w:numPr>
        <w:ind w:firstLine="480"/>
      </w:pPr>
      <w:r>
        <w:rPr>
          <w:rFonts w:hint="eastAsia"/>
        </w:rPr>
        <w:t>【确认离职】：点击确认离职，确定后该次人员离职进入审批阶段。</w:t>
      </w:r>
    </w:p>
    <w:p>
      <w:pPr>
        <w:ind w:firstLine="480"/>
      </w:pPr>
      <w:r>
        <w:rPr>
          <w:rFonts w:hint="eastAsia"/>
        </w:rPr>
        <w:t>【人员入职申请】点击人员入职申请右边的“+”，进入如下截图：</w:t>
      </w:r>
    </w:p>
    <w:p>
      <w:pPr>
        <w:ind w:firstLine="0" w:firstLineChars="0"/>
      </w:pPr>
      <w:r>
        <w:drawing>
          <wp:inline distT="0" distB="0" distL="114300" distR="114300">
            <wp:extent cx="6187440" cy="2848610"/>
            <wp:effectExtent l="0" t="0" r="10160" b="8890"/>
            <wp:docPr id="5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看看温馨提示，选择要添加的人员类型，进入如下所示：</w:t>
      </w:r>
    </w:p>
    <w:p>
      <w:pPr>
        <w:ind w:firstLine="0" w:firstLineChars="0"/>
      </w:pPr>
      <w:r>
        <w:drawing>
          <wp:inline distT="0" distB="0" distL="114300" distR="114300">
            <wp:extent cx="6186805" cy="2684780"/>
            <wp:effectExtent l="0" t="0" r="10795" b="7620"/>
            <wp:docPr id="5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6181725" cy="1590675"/>
            <wp:effectExtent l="0" t="0" r="3175" b="9525"/>
            <wp:docPr id="7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8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按要求填写相关信息，上传附件，保存后人员进入审批阶段。</w:t>
      </w:r>
    </w:p>
    <w:p>
      <w:pPr>
        <w:ind w:firstLine="480"/>
      </w:pPr>
    </w:p>
    <w:p>
      <w:pPr>
        <w:numPr>
          <w:ilvl w:val="0"/>
          <w:numId w:val="51"/>
        </w:numPr>
        <w:ind w:firstLine="482"/>
        <w:rPr>
          <w:b/>
          <w:bCs/>
        </w:rPr>
      </w:pPr>
      <w:r>
        <w:rPr>
          <w:rFonts w:hint="eastAsia"/>
          <w:b/>
          <w:bCs/>
        </w:rPr>
        <w:t>数据输入事项</w:t>
      </w:r>
    </w:p>
    <w:p>
      <w:pPr>
        <w:ind w:firstLine="480"/>
      </w:pPr>
      <w:r>
        <w:rPr>
          <w:rFonts w:hint="eastAsia"/>
        </w:rPr>
        <w:t xml:space="preserve">         无</w:t>
      </w:r>
    </w:p>
    <w:p>
      <w:pPr>
        <w:pStyle w:val="3"/>
        <w:rPr>
          <w:lang w:val="en-US"/>
        </w:rPr>
      </w:pPr>
      <w:bookmarkStart w:id="74" w:name="_Toc3252"/>
      <w:r>
        <w:rPr>
          <w:rFonts w:hint="eastAsia"/>
          <w:lang w:val="en-US"/>
        </w:rPr>
        <w:t>业务办理终止申请</w:t>
      </w:r>
      <w:bookmarkEnd w:id="74"/>
    </w:p>
    <w:p>
      <w:pPr>
        <w:numPr>
          <w:ilvl w:val="1"/>
          <w:numId w:val="0"/>
        </w:numPr>
        <w:ind w:left="576" w:firstLine="420" w:firstLineChars="200"/>
        <w:rPr>
          <w:lang w:val="zh-CN"/>
        </w:rPr>
      </w:pPr>
      <w:bookmarkStart w:id="75" w:name="_Toc2081"/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企业用户登陆系统，点击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bCs/>
          <w:sz w:val="21"/>
          <w:szCs w:val="21"/>
        </w:rPr>
        <w:t>承装（修、试）业务许可申请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-‘</w:t>
      </w:r>
      <w:r>
        <w:rPr>
          <w:rFonts w:hint="eastAsia" w:asciiTheme="minorEastAsia" w:hAnsiTheme="minorEastAsia" w:eastAsiaTheme="minorEastAsia"/>
          <w:b/>
          <w:bCs/>
          <w:sz w:val="21"/>
          <w:szCs w:val="21"/>
          <w:lang w:val="zh-CN"/>
        </w:rPr>
        <w:t>业务办理终止申请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’链接，页面打开后如下图显示</w:t>
      </w:r>
      <w:r>
        <w:rPr>
          <w:rFonts w:hint="eastAsia"/>
          <w:lang w:val="zh-CN"/>
        </w:rPr>
        <w:t>：</w:t>
      </w:r>
      <w:bookmarkEnd w:id="75"/>
    </w:p>
    <w:p>
      <w:pPr>
        <w:ind w:firstLine="0" w:firstLineChars="0"/>
      </w:pPr>
      <w:r>
        <w:drawing>
          <wp:inline distT="0" distB="0" distL="114300" distR="114300">
            <wp:extent cx="6182995" cy="2574925"/>
            <wp:effectExtent l="0" t="0" r="1905" b="3175"/>
            <wp:docPr id="8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3"/>
        </w:numPr>
        <w:ind w:firstLine="482"/>
        <w:rPr>
          <w:b/>
          <w:bCs/>
        </w:rPr>
      </w:pPr>
      <w:r>
        <w:rPr>
          <w:rFonts w:hint="eastAsia"/>
          <w:b/>
          <w:bCs/>
        </w:rPr>
        <w:t>操作说明</w:t>
      </w:r>
    </w:p>
    <w:p>
      <w:pPr>
        <w:ind w:firstLine="482"/>
      </w:pPr>
      <w:r>
        <w:rPr>
          <w:rFonts w:hint="eastAsia"/>
          <w:b/>
          <w:bCs/>
        </w:rPr>
        <w:t xml:space="preserve">        </w:t>
      </w:r>
      <w:r>
        <w:rPr>
          <w:rFonts w:hint="eastAsia"/>
        </w:rPr>
        <w:t>选择要终止申请的企业，点击终止申请即终止该项申请，流程结束。</w:t>
      </w:r>
    </w:p>
    <w:p>
      <w:pPr>
        <w:numPr>
          <w:ilvl w:val="0"/>
          <w:numId w:val="53"/>
        </w:numPr>
        <w:ind w:firstLine="482"/>
        <w:rPr>
          <w:b/>
          <w:bCs/>
        </w:rPr>
      </w:pPr>
      <w:r>
        <w:rPr>
          <w:rFonts w:hint="eastAsia"/>
          <w:b/>
          <w:bCs/>
        </w:rPr>
        <w:t>数据输入注意事项</w:t>
      </w:r>
    </w:p>
    <w:p>
      <w:pPr>
        <w:ind w:firstLine="482"/>
      </w:pPr>
      <w:r>
        <w:rPr>
          <w:rFonts w:hint="eastAsia"/>
          <w:b/>
          <w:bCs/>
        </w:rPr>
        <w:t xml:space="preserve">     </w:t>
      </w:r>
      <w:r>
        <w:rPr>
          <w:rFonts w:hint="eastAsia"/>
        </w:rPr>
        <w:t xml:space="preserve">    无</w:t>
      </w:r>
    </w:p>
    <w:p>
      <w:pPr>
        <w:pStyle w:val="2"/>
      </w:pPr>
      <w:bookmarkStart w:id="76" w:name="_Toc13629"/>
      <w:r>
        <w:rPr>
          <w:rFonts w:hint="eastAsia"/>
          <w:lang w:val="en-US"/>
        </w:rPr>
        <w:t>好差评</w:t>
      </w:r>
      <w:bookmarkEnd w:id="76"/>
    </w:p>
    <w:p>
      <w:pPr>
        <w:pStyle w:val="3"/>
      </w:pPr>
      <w:bookmarkStart w:id="77" w:name="_Toc20373"/>
      <w:r>
        <w:rPr>
          <w:rFonts w:hint="eastAsia"/>
          <w:lang w:val="en-US"/>
        </w:rPr>
        <w:t>一事一评</w:t>
      </w:r>
      <w:bookmarkEnd w:id="77"/>
    </w:p>
    <w:p>
      <w:pPr>
        <w:pStyle w:val="4"/>
      </w:pPr>
      <w:bookmarkStart w:id="78" w:name="_Toc26018"/>
      <w:r>
        <w:rPr>
          <w:rFonts w:hint="eastAsia"/>
          <w:lang w:val="en-US"/>
        </w:rPr>
        <w:t>一事一评</w:t>
      </w:r>
      <w:r>
        <w:t>界面</w:t>
      </w:r>
      <w:bookmarkEnd w:id="78"/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企业用户登录系统，点击系统首页‘待办里面：</w:t>
      </w:r>
      <w:r>
        <w:rPr>
          <w:rFonts w:hint="eastAsia" w:ascii="宋体" w:hAnsi="宋体"/>
          <w:b/>
          <w:bCs/>
          <w:sz w:val="21"/>
          <w:szCs w:val="21"/>
        </w:rPr>
        <w:t>好差评链接</w:t>
      </w:r>
      <w:r>
        <w:rPr>
          <w:rFonts w:hint="eastAsia" w:ascii="宋体" w:hAnsi="宋体"/>
          <w:sz w:val="21"/>
          <w:szCs w:val="21"/>
        </w:rPr>
        <w:t>’，进入好差评服务页面</w:t>
      </w:r>
    </w:p>
    <w:p>
      <w:pPr>
        <w:ind w:firstLine="0" w:firstLineChars="0"/>
        <w:contextualSpacing w:val="0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6182360" cy="2495550"/>
            <wp:effectExtent l="0" t="0" r="2540" b="635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54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用户点击待办里面的好差评链接，进入好差评服务页面。</w:t>
      </w:r>
    </w:p>
    <w:p>
      <w:pPr>
        <w:pStyle w:val="37"/>
        <w:numPr>
          <w:ilvl w:val="0"/>
          <w:numId w:val="55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数据输入注意事项</w:t>
      </w:r>
    </w:p>
    <w:p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无。</w:t>
      </w:r>
    </w:p>
    <w:p>
      <w:pPr>
        <w:pStyle w:val="4"/>
      </w:pPr>
      <w:bookmarkStart w:id="79" w:name="_Toc20843"/>
      <w:r>
        <w:rPr>
          <w:rFonts w:hint="eastAsia"/>
          <w:lang w:val="en-US"/>
        </w:rPr>
        <w:t>好差评服务页面</w:t>
      </w:r>
      <w:bookmarkEnd w:id="79"/>
    </w:p>
    <w:p>
      <w:pPr>
        <w:ind w:firstLine="42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1"/>
          <w:szCs w:val="21"/>
        </w:rPr>
        <w:t>企业用户登录系统，点击系统首页‘待办里面：</w:t>
      </w:r>
      <w:r>
        <w:rPr>
          <w:rFonts w:hint="eastAsia" w:ascii="宋体" w:hAnsi="宋体"/>
          <w:b/>
          <w:bCs/>
          <w:sz w:val="21"/>
          <w:szCs w:val="21"/>
        </w:rPr>
        <w:t>好差评链接</w:t>
      </w:r>
      <w:r>
        <w:rPr>
          <w:rFonts w:hint="eastAsia" w:ascii="宋体" w:hAnsi="宋体"/>
          <w:sz w:val="21"/>
          <w:szCs w:val="21"/>
        </w:rPr>
        <w:t>’进入“好差评服务页面”，填报页面如</w:t>
      </w:r>
      <w:r>
        <w:rPr>
          <w:rFonts w:ascii="宋体" w:hAnsi="宋体"/>
          <w:sz w:val="21"/>
          <w:szCs w:val="21"/>
        </w:rPr>
        <w:t>下</w:t>
      </w:r>
      <w:r>
        <w:rPr>
          <w:rFonts w:hint="eastAsia" w:ascii="宋体" w:hAnsi="宋体"/>
          <w:sz w:val="21"/>
          <w:szCs w:val="21"/>
        </w:rPr>
        <w:t>:</w:t>
      </w:r>
    </w:p>
    <w:p>
      <w:pPr>
        <w:adjustRightInd w:val="0"/>
        <w:snapToGrid w:val="0"/>
        <w:ind w:firstLine="0" w:firstLineChars="0"/>
        <w:contextualSpacing w:val="0"/>
        <w:rPr>
          <w:rFonts w:hint="eastAsia"/>
        </w:rPr>
      </w:pPr>
      <w:r>
        <w:drawing>
          <wp:inline distT="0" distB="0" distL="114300" distR="114300">
            <wp:extent cx="6181090" cy="3748405"/>
            <wp:effectExtent l="0" t="0" r="3810" b="1079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748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54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用户对好差评页面进行填报，填报完成点击保存即完成-跳转首页。</w:t>
      </w:r>
    </w:p>
    <w:p>
      <w:pPr>
        <w:pStyle w:val="37"/>
        <w:numPr>
          <w:ilvl w:val="0"/>
          <w:numId w:val="55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数据输入注意事项</w:t>
      </w:r>
    </w:p>
    <w:p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带“</w:t>
      </w:r>
      <w:r>
        <w:rPr>
          <w:rFonts w:hint="eastAsia" w:ascii="宋体" w:hAnsi="宋体"/>
          <w:color w:val="FF0000"/>
          <w:sz w:val="21"/>
          <w:szCs w:val="21"/>
        </w:rPr>
        <w:t>*</w:t>
      </w:r>
      <w:r>
        <w:rPr>
          <w:rFonts w:hint="eastAsia" w:ascii="宋体" w:hAnsi="宋体"/>
          <w:sz w:val="21"/>
          <w:szCs w:val="21"/>
        </w:rPr>
        <w:t>”为必填项。</w:t>
      </w:r>
    </w:p>
    <w:p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同一手机号5天内只能填报一次。</w:t>
      </w:r>
    </w:p>
    <w:p>
      <w:pPr>
        <w:pStyle w:val="3"/>
      </w:pPr>
      <w:bookmarkStart w:id="80" w:name="_Toc11441"/>
      <w:r>
        <w:rPr>
          <w:rFonts w:hint="eastAsia"/>
          <w:lang w:val="en-US"/>
        </w:rPr>
        <w:t>扫码一次一评</w:t>
      </w:r>
      <w:bookmarkEnd w:id="80"/>
    </w:p>
    <w:p>
      <w:pPr>
        <w:pStyle w:val="4"/>
      </w:pPr>
      <w:bookmarkStart w:id="81" w:name="_Toc1451"/>
      <w:r>
        <w:rPr>
          <w:rFonts w:hint="eastAsia"/>
          <w:lang w:val="en-US"/>
        </w:rPr>
        <w:t>一次一评生成二维码</w:t>
      </w:r>
      <w:r>
        <w:t>界面</w:t>
      </w:r>
      <w:bookmarkEnd w:id="81"/>
    </w:p>
    <w:p>
      <w:pPr>
        <w:ind w:left="420" w:firstLine="420"/>
      </w:pPr>
      <w:r>
        <w:rPr>
          <w:rFonts w:hint="eastAsia" w:ascii="宋体" w:hAnsi="宋体"/>
          <w:sz w:val="21"/>
          <w:szCs w:val="21"/>
        </w:rPr>
        <w:t>内网登录系统，点击系统菜单‘好差评’-‘一次一评’，生成二维码页面如</w:t>
      </w:r>
      <w:r>
        <w:rPr>
          <w:rFonts w:ascii="宋体" w:hAnsi="宋体"/>
          <w:sz w:val="21"/>
          <w:szCs w:val="21"/>
        </w:rPr>
        <w:t>下</w:t>
      </w:r>
    </w:p>
    <w:p>
      <w:pPr>
        <w:ind w:firstLine="0" w:firstLineChars="0"/>
      </w:pPr>
      <w:r>
        <w:drawing>
          <wp:inline distT="0" distB="0" distL="114300" distR="114300">
            <wp:extent cx="6179820" cy="2519680"/>
            <wp:effectExtent l="0" t="0" r="5080" b="7620"/>
            <wp:docPr id="5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54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后台点击生成，然后再点击二维码图片里面链接，即可获取二维码。</w:t>
      </w:r>
    </w:p>
    <w:p>
      <w:pPr>
        <w:pStyle w:val="37"/>
        <w:numPr>
          <w:ilvl w:val="0"/>
          <w:numId w:val="55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数据输入注意事项</w:t>
      </w:r>
    </w:p>
    <w:p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先点击生成，二维码链接才能生成二维码。</w:t>
      </w:r>
    </w:p>
    <w:p>
      <w:pPr>
        <w:pStyle w:val="4"/>
      </w:pPr>
      <w:bookmarkStart w:id="82" w:name="_Toc9806"/>
      <w:r>
        <w:rPr>
          <w:rFonts w:hint="eastAsia"/>
          <w:lang w:val="en-US"/>
        </w:rPr>
        <w:t>扫码一次一评</w:t>
      </w:r>
      <w:r>
        <w:t>界面</w:t>
      </w:r>
      <w:bookmarkEnd w:id="82"/>
    </w:p>
    <w:p>
      <w:pPr>
        <w:ind w:left="420" w:firstLine="420"/>
      </w:pPr>
      <w:r>
        <w:rPr>
          <w:rFonts w:hint="eastAsia" w:ascii="宋体" w:hAnsi="宋体"/>
          <w:sz w:val="21"/>
          <w:szCs w:val="21"/>
        </w:rPr>
        <w:t>用户扫描二维码跳转好差评服务页面如下：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4679950" cy="5010150"/>
            <wp:effectExtent l="0" t="0" r="6350" b="6350"/>
            <wp:docPr id="10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54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用户扫描二维码，跳转到好差评服务评价页面。</w:t>
      </w:r>
    </w:p>
    <w:p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用户对好差评页面进行填报，填报完成点击“提交”按钮即完成。</w:t>
      </w:r>
    </w:p>
    <w:p>
      <w:pPr>
        <w:pStyle w:val="37"/>
        <w:numPr>
          <w:ilvl w:val="0"/>
          <w:numId w:val="55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数据输入注意事项</w:t>
      </w:r>
    </w:p>
    <w:p>
      <w:pPr>
        <w:ind w:firstLine="840" w:firstLineChars="40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带“</w:t>
      </w:r>
      <w:r>
        <w:rPr>
          <w:rFonts w:hint="eastAsia" w:ascii="宋体" w:hAnsi="宋体"/>
          <w:color w:val="FF0000"/>
          <w:sz w:val="21"/>
          <w:szCs w:val="21"/>
        </w:rPr>
        <w:t>*</w:t>
      </w:r>
      <w:r>
        <w:rPr>
          <w:rFonts w:hint="eastAsia" w:ascii="宋体" w:hAnsi="宋体"/>
          <w:sz w:val="21"/>
          <w:szCs w:val="21"/>
        </w:rPr>
        <w:t>”为必填项。</w:t>
      </w:r>
    </w:p>
    <w:p>
      <w:pPr>
        <w:ind w:firstLine="840" w:firstLineChars="40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同一手机号</w:t>
      </w:r>
      <w:r>
        <w:rPr>
          <w:rFonts w:ascii="宋体" w:hAnsi="宋体"/>
          <w:sz w:val="21"/>
          <w:szCs w:val="21"/>
        </w:rPr>
        <w:t>5</w:t>
      </w:r>
      <w:r>
        <w:rPr>
          <w:rFonts w:hint="eastAsia" w:ascii="宋体" w:hAnsi="宋体"/>
          <w:sz w:val="21"/>
          <w:szCs w:val="21"/>
        </w:rPr>
        <w:t>天内只能填报一次。</w:t>
      </w:r>
    </w:p>
    <w:p>
      <w:pPr>
        <w:pStyle w:val="3"/>
      </w:pPr>
      <w:bookmarkStart w:id="83" w:name="_Toc15842"/>
      <w:r>
        <w:rPr>
          <w:rFonts w:hint="eastAsia"/>
          <w:lang w:val="en-US"/>
        </w:rPr>
        <w:t>扫码一事一评</w:t>
      </w:r>
      <w:bookmarkEnd w:id="83"/>
    </w:p>
    <w:p>
      <w:pPr>
        <w:pStyle w:val="4"/>
      </w:pPr>
      <w:bookmarkStart w:id="84" w:name="_Toc22049"/>
      <w:r>
        <w:rPr>
          <w:rFonts w:hint="eastAsia"/>
          <w:lang w:val="en-US"/>
        </w:rPr>
        <w:t>一事一评生成二维码</w:t>
      </w:r>
      <w:r>
        <w:t>界面</w:t>
      </w:r>
      <w:bookmarkEnd w:id="84"/>
    </w:p>
    <w:p>
      <w:pPr>
        <w:ind w:left="420" w:firstLine="420"/>
      </w:pPr>
      <w:r>
        <w:rPr>
          <w:rFonts w:hint="eastAsia" w:ascii="宋体" w:hAnsi="宋体"/>
          <w:sz w:val="21"/>
          <w:szCs w:val="21"/>
        </w:rPr>
        <w:t>内网登录系统，点击系统菜单‘好差评’-‘一事一评’，生成二维码页面如</w:t>
      </w:r>
      <w:r>
        <w:rPr>
          <w:rFonts w:ascii="宋体" w:hAnsi="宋体"/>
          <w:sz w:val="21"/>
          <w:szCs w:val="21"/>
        </w:rPr>
        <w:t>下</w:t>
      </w:r>
    </w:p>
    <w:p>
      <w:pPr>
        <w:ind w:firstLine="897" w:firstLineChars="374"/>
      </w:pPr>
    </w:p>
    <w:p>
      <w:pPr>
        <w:ind w:firstLine="0" w:firstLineChars="0"/>
      </w:pPr>
      <w:r>
        <w:drawing>
          <wp:inline distT="0" distB="0" distL="114300" distR="114300">
            <wp:extent cx="6185535" cy="2545715"/>
            <wp:effectExtent l="0" t="0" r="12065" b="698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545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54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后台点击生成，然后再点击二维码图片里面链接，即可获取二维码。</w:t>
      </w:r>
    </w:p>
    <w:p>
      <w:pPr>
        <w:pStyle w:val="37"/>
        <w:numPr>
          <w:ilvl w:val="0"/>
          <w:numId w:val="55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数据输入注意事项</w:t>
      </w:r>
    </w:p>
    <w:p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先点击生成，二维码链接才能生成二维码。</w:t>
      </w:r>
    </w:p>
    <w:p>
      <w:pPr>
        <w:pStyle w:val="4"/>
      </w:pPr>
      <w:bookmarkStart w:id="85" w:name="_Toc20002"/>
      <w:r>
        <w:rPr>
          <w:rFonts w:hint="eastAsia"/>
          <w:lang w:val="en-US"/>
        </w:rPr>
        <w:t>扫码一事一评</w:t>
      </w:r>
      <w:r>
        <w:t>界面</w:t>
      </w:r>
      <w:bookmarkEnd w:id="85"/>
    </w:p>
    <w:p>
      <w:pPr>
        <w:ind w:left="420" w:firstLine="420"/>
      </w:pPr>
      <w:r>
        <w:rPr>
          <w:rFonts w:hint="eastAsia" w:ascii="宋体" w:hAnsi="宋体"/>
          <w:sz w:val="21"/>
          <w:szCs w:val="21"/>
        </w:rPr>
        <w:t>用户扫描二维码跳转好差评服务页面如下：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4387850" cy="5518150"/>
            <wp:effectExtent l="0" t="0" r="6350" b="635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551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54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用户扫描二维码，跳转到好差评服务评价页面。</w:t>
      </w:r>
    </w:p>
    <w:p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用户对好差评页面进行填报，填报完成点击“提交”按钮即完成。</w:t>
      </w:r>
    </w:p>
    <w:p>
      <w:pPr>
        <w:pStyle w:val="37"/>
        <w:numPr>
          <w:ilvl w:val="0"/>
          <w:numId w:val="55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数据输入注意事项</w:t>
      </w:r>
    </w:p>
    <w:p>
      <w:pPr>
        <w:ind w:firstLine="840" w:firstLineChars="40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带“</w:t>
      </w:r>
      <w:r>
        <w:rPr>
          <w:rFonts w:hint="eastAsia" w:ascii="宋体" w:hAnsi="宋体"/>
          <w:color w:val="FF0000"/>
          <w:sz w:val="21"/>
          <w:szCs w:val="21"/>
        </w:rPr>
        <w:t>*</w:t>
      </w:r>
      <w:r>
        <w:rPr>
          <w:rFonts w:hint="eastAsia" w:ascii="宋体" w:hAnsi="宋体"/>
          <w:sz w:val="21"/>
          <w:szCs w:val="21"/>
        </w:rPr>
        <w:t>”为必填项。</w:t>
      </w:r>
    </w:p>
    <w:p>
      <w:pPr>
        <w:ind w:firstLine="840" w:firstLineChars="40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同一手机号</w:t>
      </w:r>
      <w:r>
        <w:rPr>
          <w:rFonts w:ascii="宋体" w:hAnsi="宋体"/>
          <w:sz w:val="21"/>
          <w:szCs w:val="21"/>
        </w:rPr>
        <w:t>5</w:t>
      </w:r>
      <w:r>
        <w:rPr>
          <w:rFonts w:hint="eastAsia" w:ascii="宋体" w:hAnsi="宋体"/>
          <w:sz w:val="21"/>
          <w:szCs w:val="21"/>
        </w:rPr>
        <w:t>天内只能填报一次。</w:t>
      </w:r>
    </w:p>
    <w:p>
      <w:pPr>
        <w:pStyle w:val="2"/>
      </w:pPr>
      <w:bookmarkStart w:id="86" w:name="_Toc19160"/>
      <w:r>
        <w:rPr>
          <w:rFonts w:hint="eastAsia"/>
          <w:lang w:val="en-US"/>
        </w:rPr>
        <w:t>企业自查</w:t>
      </w:r>
      <w:bookmarkEnd w:id="86"/>
    </w:p>
    <w:p>
      <w:pPr>
        <w:pStyle w:val="3"/>
      </w:pPr>
      <w:bookmarkStart w:id="87" w:name="_Toc29114"/>
      <w:r>
        <w:rPr>
          <w:rFonts w:hint="eastAsia"/>
          <w:lang w:val="en-US"/>
        </w:rPr>
        <w:t>自查</w:t>
      </w:r>
      <w:bookmarkEnd w:id="87"/>
    </w:p>
    <w:p>
      <w:pPr>
        <w:pStyle w:val="4"/>
      </w:pPr>
      <w:bookmarkStart w:id="88" w:name="_Toc1142"/>
      <w:r>
        <w:rPr>
          <w:rFonts w:hint="eastAsia"/>
          <w:lang w:val="en-US"/>
        </w:rPr>
        <w:t>自查界面</w:t>
      </w:r>
      <w:bookmarkEnd w:id="88"/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管理员后台发起自查，企业用户登录系统即可点击系统首页‘待办里面：</w:t>
      </w:r>
      <w:r>
        <w:rPr>
          <w:rFonts w:ascii="微软雅黑" w:hAnsi="微软雅黑" w:eastAsia="微软雅黑" w:cs="微软雅黑"/>
          <w:b/>
          <w:bCs/>
          <w:color w:val="303133"/>
          <w:sz w:val="20"/>
          <w:szCs w:val="20"/>
          <w:shd w:val="clear" w:color="auto" w:fill="FFFFFF"/>
        </w:rPr>
        <w:t>[承装（修丶试）类自查]承装修试2020年自查</w:t>
      </w:r>
      <w:r>
        <w:rPr>
          <w:rFonts w:hint="eastAsia" w:ascii="宋体" w:hAnsi="宋体"/>
          <w:sz w:val="21"/>
          <w:szCs w:val="21"/>
        </w:rPr>
        <w:t>’，进入自查页面如</w:t>
      </w:r>
      <w:r>
        <w:rPr>
          <w:rFonts w:ascii="宋体" w:hAnsi="宋体"/>
          <w:sz w:val="21"/>
          <w:szCs w:val="21"/>
        </w:rPr>
        <w:t>下：</w:t>
      </w:r>
    </w:p>
    <w:p>
      <w:pPr>
        <w:ind w:firstLine="0" w:firstLineChars="0"/>
        <w:contextualSpacing w:val="0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6180455" cy="2869565"/>
            <wp:effectExtent l="0" t="0" r="4445" b="635"/>
            <wp:docPr id="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2869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contextualSpacing w:val="0"/>
      </w:pPr>
      <w:r>
        <w:drawing>
          <wp:inline distT="0" distB="0" distL="114300" distR="114300">
            <wp:extent cx="6182360" cy="2936240"/>
            <wp:effectExtent l="0" t="0" r="2540" b="10160"/>
            <wp:docPr id="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936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contextualSpacing w:val="0"/>
      </w:pPr>
      <w:r>
        <w:drawing>
          <wp:inline distT="0" distB="0" distL="114300" distR="114300">
            <wp:extent cx="6180455" cy="2988945"/>
            <wp:effectExtent l="0" t="0" r="4445" b="8255"/>
            <wp:docPr id="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2988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54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用户进入自查界面填报需填报的内即需要上传的附近，填报完毕点击提交按钮即可提交。</w:t>
      </w:r>
    </w:p>
    <w:p>
      <w:pPr>
        <w:pStyle w:val="37"/>
        <w:numPr>
          <w:ilvl w:val="0"/>
          <w:numId w:val="55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数据输入注意事项</w:t>
      </w:r>
    </w:p>
    <w:p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带“</w:t>
      </w:r>
      <w:r>
        <w:rPr>
          <w:rFonts w:hint="eastAsia" w:ascii="宋体" w:hAnsi="宋体"/>
          <w:color w:val="FF0000"/>
          <w:sz w:val="21"/>
          <w:szCs w:val="21"/>
        </w:rPr>
        <w:t>*</w:t>
      </w:r>
      <w:r>
        <w:rPr>
          <w:rFonts w:hint="eastAsia" w:ascii="宋体" w:hAnsi="宋体"/>
          <w:sz w:val="21"/>
          <w:szCs w:val="21"/>
        </w:rPr>
        <w:t>”为必填项。</w:t>
      </w:r>
    </w:p>
    <w:p>
      <w:pPr>
        <w:ind w:left="420" w:firstLine="420"/>
        <w:contextualSpacing w:val="0"/>
      </w:pPr>
      <w:r>
        <w:rPr>
          <w:rFonts w:hint="eastAsia" w:ascii="宋体" w:hAnsi="宋体"/>
          <w:sz w:val="21"/>
          <w:szCs w:val="21"/>
        </w:rPr>
        <w:t>在资料提交页面会提示必须缺失资料，需全部填报才可提交。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080" w:bottom="1440" w:left="1080" w:header="851" w:footer="992" w:gutter="0"/>
      <w:pgNumType w:start="1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onsolas">
    <w:panose1 w:val="020B0609020204030204"/>
    <w:charset w:val="00"/>
    <w:family w:val="modern"/>
    <w:pitch w:val="default"/>
    <w:sig w:usb0="E10002FF" w:usb1="4000FCFF" w:usb2="00000009" w:usb3="00000000" w:csb0="600001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119640313"/>
    </w:sdtPr>
    <w:sdtContent>
      <w:sdt>
        <w:sdtPr>
          <w:id w:val="-1705238520"/>
        </w:sdtPr>
        <w:sdtContent>
          <w:p>
            <w:pPr>
              <w:pStyle w:val="16"/>
              <w:ind w:firstLine="360"/>
              <w:jc w:val="center"/>
            </w:pPr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75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1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F71661"/>
    <w:multiLevelType w:val="singleLevel"/>
    <w:tmpl w:val="82F71661"/>
    <w:lvl w:ilvl="0" w:tentative="0">
      <w:start w:val="1"/>
      <w:numFmt w:val="decimal"/>
      <w:suff w:val="space"/>
      <w:lvlText w:val="（%1）"/>
      <w:lvlJc w:val="left"/>
    </w:lvl>
  </w:abstractNum>
  <w:abstractNum w:abstractNumId="1">
    <w:nsid w:val="8C00BBC2"/>
    <w:multiLevelType w:val="singleLevel"/>
    <w:tmpl w:val="8C00BBC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AE090650"/>
    <w:multiLevelType w:val="singleLevel"/>
    <w:tmpl w:val="AE09065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BB384F7F"/>
    <w:multiLevelType w:val="singleLevel"/>
    <w:tmpl w:val="BB384F7F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C1B69E80"/>
    <w:multiLevelType w:val="singleLevel"/>
    <w:tmpl w:val="C1B69E8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C2732990"/>
    <w:multiLevelType w:val="singleLevel"/>
    <w:tmpl w:val="C273299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CC63F426"/>
    <w:multiLevelType w:val="singleLevel"/>
    <w:tmpl w:val="CC63F42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E6E9D1E7"/>
    <w:multiLevelType w:val="singleLevel"/>
    <w:tmpl w:val="E6E9D1E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E9F45B53"/>
    <w:multiLevelType w:val="singleLevel"/>
    <w:tmpl w:val="E9F45B5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9">
    <w:nsid w:val="03D4099D"/>
    <w:multiLevelType w:val="multilevel"/>
    <w:tmpl w:val="03D4099D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4B1B872"/>
    <w:multiLevelType w:val="singleLevel"/>
    <w:tmpl w:val="04B1B87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1">
    <w:nsid w:val="07840E81"/>
    <w:multiLevelType w:val="multilevel"/>
    <w:tmpl w:val="07840E81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08A97ED2"/>
    <w:multiLevelType w:val="multilevel"/>
    <w:tmpl w:val="08A97ED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3">
    <w:nsid w:val="0ABF5F42"/>
    <w:multiLevelType w:val="singleLevel"/>
    <w:tmpl w:val="0ABF5F4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4">
    <w:nsid w:val="0B06218E"/>
    <w:multiLevelType w:val="multilevel"/>
    <w:tmpl w:val="0B06218E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0C5D61A9"/>
    <w:multiLevelType w:val="multilevel"/>
    <w:tmpl w:val="0C5D61A9"/>
    <w:lvl w:ilvl="0" w:tentative="0">
      <w:start w:val="1"/>
      <w:numFmt w:val="decimal"/>
      <w:suff w:val="nothing"/>
      <w:lvlText w:val="（%1）"/>
      <w:lvlJc w:val="left"/>
    </w:lvl>
    <w:lvl w:ilvl="1" w:tentative="0">
      <w:start w:val="1"/>
      <w:numFmt w:val="decimalEnclosedCircleChinese"/>
      <w:lvlText w:val="%2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decimal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lowerLetter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lowerRoman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Letter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6">
    <w:nsid w:val="0E4762AC"/>
    <w:multiLevelType w:val="multilevel"/>
    <w:tmpl w:val="0E4762AC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13414E14"/>
    <w:multiLevelType w:val="multilevel"/>
    <w:tmpl w:val="13414E14"/>
    <w:lvl w:ilvl="0" w:tentative="0">
      <w:start w:val="1"/>
      <w:numFmt w:val="decimal"/>
      <w:lvlText w:val="（%1）"/>
      <w:lvlJc w:val="left"/>
      <w:pPr>
        <w:ind w:left="1142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2" w:hanging="420"/>
      </w:pPr>
    </w:lvl>
    <w:lvl w:ilvl="2" w:tentative="0">
      <w:start w:val="1"/>
      <w:numFmt w:val="lowerRoman"/>
      <w:lvlText w:val="%3."/>
      <w:lvlJc w:val="right"/>
      <w:pPr>
        <w:ind w:left="1682" w:hanging="420"/>
      </w:pPr>
    </w:lvl>
    <w:lvl w:ilvl="3" w:tentative="0">
      <w:start w:val="1"/>
      <w:numFmt w:val="decimal"/>
      <w:lvlText w:val="%4."/>
      <w:lvlJc w:val="left"/>
      <w:pPr>
        <w:ind w:left="2102" w:hanging="420"/>
      </w:pPr>
    </w:lvl>
    <w:lvl w:ilvl="4" w:tentative="0">
      <w:start w:val="1"/>
      <w:numFmt w:val="lowerLetter"/>
      <w:lvlText w:val="%5)"/>
      <w:lvlJc w:val="left"/>
      <w:pPr>
        <w:ind w:left="2522" w:hanging="420"/>
      </w:pPr>
    </w:lvl>
    <w:lvl w:ilvl="5" w:tentative="0">
      <w:start w:val="1"/>
      <w:numFmt w:val="lowerRoman"/>
      <w:lvlText w:val="%6."/>
      <w:lvlJc w:val="right"/>
      <w:pPr>
        <w:ind w:left="2942" w:hanging="420"/>
      </w:pPr>
    </w:lvl>
    <w:lvl w:ilvl="6" w:tentative="0">
      <w:start w:val="1"/>
      <w:numFmt w:val="decimal"/>
      <w:lvlText w:val="%7."/>
      <w:lvlJc w:val="left"/>
      <w:pPr>
        <w:ind w:left="3362" w:hanging="420"/>
      </w:pPr>
    </w:lvl>
    <w:lvl w:ilvl="7" w:tentative="0">
      <w:start w:val="1"/>
      <w:numFmt w:val="lowerLetter"/>
      <w:lvlText w:val="%8)"/>
      <w:lvlJc w:val="left"/>
      <w:pPr>
        <w:ind w:left="3782" w:hanging="420"/>
      </w:pPr>
    </w:lvl>
    <w:lvl w:ilvl="8" w:tentative="0">
      <w:start w:val="1"/>
      <w:numFmt w:val="lowerRoman"/>
      <w:lvlText w:val="%9."/>
      <w:lvlJc w:val="right"/>
      <w:pPr>
        <w:ind w:left="4202" w:hanging="420"/>
      </w:pPr>
    </w:lvl>
  </w:abstractNum>
  <w:abstractNum w:abstractNumId="18">
    <w:nsid w:val="142A32B9"/>
    <w:multiLevelType w:val="multilevel"/>
    <w:tmpl w:val="142A32B9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1BEB372F"/>
    <w:multiLevelType w:val="multilevel"/>
    <w:tmpl w:val="1BEB372F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1D56184"/>
    <w:multiLevelType w:val="singleLevel"/>
    <w:tmpl w:val="21D5618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1">
    <w:nsid w:val="235773F0"/>
    <w:multiLevelType w:val="multilevel"/>
    <w:tmpl w:val="235773F0"/>
    <w:lvl w:ilvl="0" w:tentative="0">
      <w:start w:val="1"/>
      <w:numFmt w:val="bullet"/>
      <w:lvlText w:val=""/>
      <w:lvlJc w:val="left"/>
      <w:pPr>
        <w:ind w:left="934" w:hanging="420"/>
      </w:pPr>
      <w:rPr>
        <w:rFonts w:hint="default" w:ascii="Symbol" w:hAnsi="Symbol"/>
      </w:rPr>
    </w:lvl>
    <w:lvl w:ilvl="1" w:tentative="0">
      <w:start w:val="1"/>
      <w:numFmt w:val="bullet"/>
      <w:lvlText w:val=""/>
      <w:lvlJc w:val="left"/>
      <w:pPr>
        <w:ind w:left="1354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74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94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14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34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54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74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94" w:hanging="420"/>
      </w:pPr>
      <w:rPr>
        <w:rFonts w:hint="default" w:ascii="Wingdings" w:hAnsi="Wingdings"/>
      </w:rPr>
    </w:lvl>
  </w:abstractNum>
  <w:abstractNum w:abstractNumId="22">
    <w:nsid w:val="26512EA8"/>
    <w:multiLevelType w:val="multilevel"/>
    <w:tmpl w:val="26512EA8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26BE111B"/>
    <w:multiLevelType w:val="multilevel"/>
    <w:tmpl w:val="26BE111B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2A7E5B0A"/>
    <w:multiLevelType w:val="multilevel"/>
    <w:tmpl w:val="2A7E5B0A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33476C36"/>
    <w:multiLevelType w:val="multilevel"/>
    <w:tmpl w:val="33476C36"/>
    <w:lvl w:ilvl="0" w:tentative="0">
      <w:start w:val="1"/>
      <w:numFmt w:val="bullet"/>
      <w:lvlText w:val=""/>
      <w:lvlJc w:val="left"/>
      <w:pPr>
        <w:ind w:left="8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5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2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0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7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4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1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8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600" w:hanging="360"/>
      </w:pPr>
      <w:rPr>
        <w:rFonts w:hint="default" w:ascii="Wingdings" w:hAnsi="Wingdings"/>
      </w:rPr>
    </w:lvl>
  </w:abstractNum>
  <w:abstractNum w:abstractNumId="26">
    <w:nsid w:val="35642B30"/>
    <w:multiLevelType w:val="singleLevel"/>
    <w:tmpl w:val="35642B3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7">
    <w:nsid w:val="3A65025C"/>
    <w:multiLevelType w:val="multilevel"/>
    <w:tmpl w:val="3A65025C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3DEA51D2"/>
    <w:multiLevelType w:val="singleLevel"/>
    <w:tmpl w:val="3DEA51D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9">
    <w:nsid w:val="400B21BB"/>
    <w:multiLevelType w:val="multilevel"/>
    <w:tmpl w:val="400B21BB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049737C"/>
    <w:multiLevelType w:val="multilevel"/>
    <w:tmpl w:val="4049737C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9B72BCE"/>
    <w:multiLevelType w:val="multilevel"/>
    <w:tmpl w:val="49B72BCE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1417EA6"/>
    <w:multiLevelType w:val="multilevel"/>
    <w:tmpl w:val="51417EA6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4092E84"/>
    <w:multiLevelType w:val="multilevel"/>
    <w:tmpl w:val="54092E84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57091C40"/>
    <w:multiLevelType w:val="singleLevel"/>
    <w:tmpl w:val="57091C40"/>
    <w:lvl w:ilvl="0" w:tentative="0">
      <w:start w:val="1"/>
      <w:numFmt w:val="decimal"/>
      <w:suff w:val="nothing"/>
      <w:lvlText w:val="（%1）"/>
      <w:lvlJc w:val="left"/>
    </w:lvl>
  </w:abstractNum>
  <w:abstractNum w:abstractNumId="35">
    <w:nsid w:val="57755C59"/>
    <w:multiLevelType w:val="multilevel"/>
    <w:tmpl w:val="57755C59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AD63236"/>
    <w:multiLevelType w:val="singleLevel"/>
    <w:tmpl w:val="5AD6323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7">
    <w:nsid w:val="5C2F4F2C"/>
    <w:multiLevelType w:val="multilevel"/>
    <w:tmpl w:val="5C2F4F2C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5C42B06D"/>
    <w:multiLevelType w:val="singleLevel"/>
    <w:tmpl w:val="5C42B06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9">
    <w:nsid w:val="5EF06309"/>
    <w:multiLevelType w:val="singleLevel"/>
    <w:tmpl w:val="5EF06309"/>
    <w:lvl w:ilvl="0" w:tentative="0">
      <w:start w:val="1"/>
      <w:numFmt w:val="none"/>
      <w:suff w:val="nothing"/>
      <w:lvlText w:val="（1）"/>
      <w:lvlJc w:val="left"/>
      <w:pPr>
        <w:ind w:left="0" w:firstLine="420"/>
      </w:pPr>
      <w:rPr>
        <w:rFonts w:hint="default"/>
      </w:rPr>
    </w:lvl>
  </w:abstractNum>
  <w:abstractNum w:abstractNumId="40">
    <w:nsid w:val="5EF0637F"/>
    <w:multiLevelType w:val="singleLevel"/>
    <w:tmpl w:val="5EF0637F"/>
    <w:lvl w:ilvl="0" w:tentative="0">
      <w:start w:val="1"/>
      <w:numFmt w:val="none"/>
      <w:suff w:val="nothing"/>
      <w:lvlText w:val="（2）"/>
      <w:lvlJc w:val="left"/>
      <w:pPr>
        <w:ind w:left="0" w:firstLine="420"/>
      </w:pPr>
      <w:rPr>
        <w:rFonts w:hint="default"/>
      </w:rPr>
    </w:lvl>
  </w:abstractNum>
  <w:abstractNum w:abstractNumId="41">
    <w:nsid w:val="5EF1F1B2"/>
    <w:multiLevelType w:val="singleLevel"/>
    <w:tmpl w:val="5EF1F1B2"/>
    <w:lvl w:ilvl="0" w:tentative="0">
      <w:start w:val="2"/>
      <w:numFmt w:val="decimal"/>
      <w:suff w:val="space"/>
      <w:lvlText w:val="%1."/>
      <w:lvlJc w:val="left"/>
    </w:lvl>
  </w:abstractNum>
  <w:abstractNum w:abstractNumId="42">
    <w:nsid w:val="5EF1F3AB"/>
    <w:multiLevelType w:val="singleLevel"/>
    <w:tmpl w:val="5EF1F3A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3">
    <w:nsid w:val="5EF1F44D"/>
    <w:multiLevelType w:val="singleLevel"/>
    <w:tmpl w:val="5EF1F44D"/>
    <w:lvl w:ilvl="0" w:tentative="0">
      <w:start w:val="1"/>
      <w:numFmt w:val="decimal"/>
      <w:suff w:val="nothing"/>
      <w:lvlText w:val="%1．"/>
      <w:lvlJc w:val="left"/>
    </w:lvl>
  </w:abstractNum>
  <w:abstractNum w:abstractNumId="44">
    <w:nsid w:val="5EF1F674"/>
    <w:multiLevelType w:val="singleLevel"/>
    <w:tmpl w:val="5EF1F674"/>
    <w:lvl w:ilvl="0" w:tentative="0">
      <w:start w:val="1"/>
      <w:numFmt w:val="decimal"/>
      <w:suff w:val="nothing"/>
      <w:lvlText w:val="%1．"/>
      <w:lvlJc w:val="left"/>
    </w:lvl>
  </w:abstractNum>
  <w:abstractNum w:abstractNumId="45">
    <w:nsid w:val="5EF1F702"/>
    <w:multiLevelType w:val="singleLevel"/>
    <w:tmpl w:val="5EF1F702"/>
    <w:lvl w:ilvl="0" w:tentative="0">
      <w:start w:val="1"/>
      <w:numFmt w:val="decimal"/>
      <w:suff w:val="nothing"/>
      <w:lvlText w:val="%1．"/>
      <w:lvlJc w:val="left"/>
    </w:lvl>
  </w:abstractNum>
  <w:abstractNum w:abstractNumId="46">
    <w:nsid w:val="62B45582"/>
    <w:multiLevelType w:val="multilevel"/>
    <w:tmpl w:val="62B45582"/>
    <w:lvl w:ilvl="0" w:tentative="0">
      <w:start w:val="1"/>
      <w:numFmt w:val="decimal"/>
      <w:pStyle w:val="2"/>
      <w:lvlText w:val="第%1章."/>
      <w:lvlJc w:val="left"/>
      <w:pPr>
        <w:ind w:left="420" w:hanging="420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lang w:val="en-US"/>
      </w:r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47">
    <w:nsid w:val="63CD526E"/>
    <w:multiLevelType w:val="singleLevel"/>
    <w:tmpl w:val="63CD526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8">
    <w:nsid w:val="697B42F6"/>
    <w:multiLevelType w:val="singleLevel"/>
    <w:tmpl w:val="697B42F6"/>
    <w:lvl w:ilvl="0" w:tentative="0">
      <w:start w:val="2"/>
      <w:numFmt w:val="decimal"/>
      <w:suff w:val="nothing"/>
      <w:lvlText w:val="(%1）"/>
      <w:lvlJc w:val="left"/>
    </w:lvl>
  </w:abstractNum>
  <w:abstractNum w:abstractNumId="49">
    <w:nsid w:val="6A7261EA"/>
    <w:multiLevelType w:val="multilevel"/>
    <w:tmpl w:val="6A7261EA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0">
    <w:nsid w:val="6D757AA6"/>
    <w:multiLevelType w:val="multilevel"/>
    <w:tmpl w:val="6D757AA6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735F40C4"/>
    <w:multiLevelType w:val="singleLevel"/>
    <w:tmpl w:val="735F40C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2">
    <w:nsid w:val="75DBA4F8"/>
    <w:multiLevelType w:val="singleLevel"/>
    <w:tmpl w:val="75DBA4F8"/>
    <w:lvl w:ilvl="0" w:tentative="0">
      <w:start w:val="1"/>
      <w:numFmt w:val="decimal"/>
      <w:suff w:val="nothing"/>
      <w:lvlText w:val="（%1）"/>
      <w:lvlJc w:val="left"/>
    </w:lvl>
  </w:abstractNum>
  <w:abstractNum w:abstractNumId="53">
    <w:nsid w:val="7C0E7108"/>
    <w:multiLevelType w:val="multilevel"/>
    <w:tmpl w:val="7C0E7108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7C16F30A"/>
    <w:multiLevelType w:val="singleLevel"/>
    <w:tmpl w:val="7C16F30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46"/>
  </w:num>
  <w:num w:numId="2">
    <w:abstractNumId w:val="11"/>
  </w:num>
  <w:num w:numId="3">
    <w:abstractNumId w:val="25"/>
  </w:num>
  <w:num w:numId="4">
    <w:abstractNumId w:val="50"/>
  </w:num>
  <w:num w:numId="5">
    <w:abstractNumId w:val="29"/>
  </w:num>
  <w:num w:numId="6">
    <w:abstractNumId w:val="19"/>
  </w:num>
  <w:num w:numId="7">
    <w:abstractNumId w:val="18"/>
  </w:num>
  <w:num w:numId="8">
    <w:abstractNumId w:val="9"/>
  </w:num>
  <w:num w:numId="9">
    <w:abstractNumId w:val="23"/>
  </w:num>
  <w:num w:numId="10">
    <w:abstractNumId w:val="30"/>
  </w:num>
  <w:num w:numId="11">
    <w:abstractNumId w:val="14"/>
  </w:num>
  <w:num w:numId="12">
    <w:abstractNumId w:val="1"/>
  </w:num>
  <w:num w:numId="13">
    <w:abstractNumId w:val="17"/>
  </w:num>
  <w:num w:numId="14">
    <w:abstractNumId w:val="5"/>
  </w:num>
  <w:num w:numId="15">
    <w:abstractNumId w:val="27"/>
  </w:num>
  <w:num w:numId="16">
    <w:abstractNumId w:val="13"/>
  </w:num>
  <w:num w:numId="17">
    <w:abstractNumId w:val="48"/>
  </w:num>
  <w:num w:numId="18">
    <w:abstractNumId w:val="53"/>
  </w:num>
  <w:num w:numId="19">
    <w:abstractNumId w:val="41"/>
  </w:num>
  <w:num w:numId="20">
    <w:abstractNumId w:val="24"/>
  </w:num>
  <w:num w:numId="21">
    <w:abstractNumId w:val="21"/>
  </w:num>
  <w:num w:numId="22">
    <w:abstractNumId w:val="28"/>
  </w:num>
  <w:num w:numId="23">
    <w:abstractNumId w:val="12"/>
  </w:num>
  <w:num w:numId="24">
    <w:abstractNumId w:val="6"/>
  </w:num>
  <w:num w:numId="25">
    <w:abstractNumId w:val="43"/>
  </w:num>
  <w:num w:numId="26">
    <w:abstractNumId w:val="35"/>
  </w:num>
  <w:num w:numId="27">
    <w:abstractNumId w:val="37"/>
  </w:num>
  <w:num w:numId="28">
    <w:abstractNumId w:val="3"/>
  </w:num>
  <w:num w:numId="29">
    <w:abstractNumId w:val="33"/>
  </w:num>
  <w:num w:numId="30">
    <w:abstractNumId w:val="36"/>
  </w:num>
  <w:num w:numId="31">
    <w:abstractNumId w:val="0"/>
  </w:num>
  <w:num w:numId="32">
    <w:abstractNumId w:val="8"/>
  </w:num>
  <w:num w:numId="33">
    <w:abstractNumId w:val="54"/>
  </w:num>
  <w:num w:numId="34">
    <w:abstractNumId w:val="38"/>
  </w:num>
  <w:num w:numId="35">
    <w:abstractNumId w:val="32"/>
  </w:num>
  <w:num w:numId="36">
    <w:abstractNumId w:val="42"/>
  </w:num>
  <w:num w:numId="37">
    <w:abstractNumId w:val="16"/>
  </w:num>
  <w:num w:numId="38">
    <w:abstractNumId w:val="15"/>
  </w:num>
  <w:num w:numId="39">
    <w:abstractNumId w:val="31"/>
  </w:num>
  <w:num w:numId="40">
    <w:abstractNumId w:val="49"/>
  </w:num>
  <w:num w:numId="41">
    <w:abstractNumId w:val="26"/>
  </w:num>
  <w:num w:numId="42">
    <w:abstractNumId w:val="22"/>
  </w:num>
  <w:num w:numId="43">
    <w:abstractNumId w:val="47"/>
  </w:num>
  <w:num w:numId="44">
    <w:abstractNumId w:val="51"/>
  </w:num>
  <w:num w:numId="45">
    <w:abstractNumId w:val="7"/>
  </w:num>
  <w:num w:numId="46">
    <w:abstractNumId w:val="10"/>
  </w:num>
  <w:num w:numId="47">
    <w:abstractNumId w:val="44"/>
  </w:num>
  <w:num w:numId="48">
    <w:abstractNumId w:val="4"/>
  </w:num>
  <w:num w:numId="49">
    <w:abstractNumId w:val="45"/>
  </w:num>
  <w:num w:numId="50">
    <w:abstractNumId w:val="20"/>
  </w:num>
  <w:num w:numId="51">
    <w:abstractNumId w:val="52"/>
  </w:num>
  <w:num w:numId="52">
    <w:abstractNumId w:val="2"/>
  </w:num>
  <w:num w:numId="53">
    <w:abstractNumId w:val="34"/>
  </w:num>
  <w:num w:numId="54">
    <w:abstractNumId w:val="39"/>
  </w:num>
  <w:num w:numId="55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nforcement="0"/>
  <w:defaultTabStop w:val="420"/>
  <w:drawingGridHorizontalSpacing w:val="120"/>
  <w:drawingGridVerticalSpacing w:val="163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734"/>
    <w:rsid w:val="0000027F"/>
    <w:rsid w:val="00000C81"/>
    <w:rsid w:val="000010E9"/>
    <w:rsid w:val="0000121A"/>
    <w:rsid w:val="000056CB"/>
    <w:rsid w:val="00005D56"/>
    <w:rsid w:val="000060AD"/>
    <w:rsid w:val="00010579"/>
    <w:rsid w:val="00015AF9"/>
    <w:rsid w:val="00016329"/>
    <w:rsid w:val="00016FF9"/>
    <w:rsid w:val="0002120C"/>
    <w:rsid w:val="00025396"/>
    <w:rsid w:val="00030287"/>
    <w:rsid w:val="00030543"/>
    <w:rsid w:val="00030D9D"/>
    <w:rsid w:val="00032C11"/>
    <w:rsid w:val="00044CD0"/>
    <w:rsid w:val="000462EF"/>
    <w:rsid w:val="00046F40"/>
    <w:rsid w:val="00051EFA"/>
    <w:rsid w:val="0005256D"/>
    <w:rsid w:val="00053AB1"/>
    <w:rsid w:val="00054039"/>
    <w:rsid w:val="000552EC"/>
    <w:rsid w:val="000575D8"/>
    <w:rsid w:val="0006149B"/>
    <w:rsid w:val="00061A51"/>
    <w:rsid w:val="00062031"/>
    <w:rsid w:val="000621F5"/>
    <w:rsid w:val="00063B58"/>
    <w:rsid w:val="00065DE9"/>
    <w:rsid w:val="00070DF3"/>
    <w:rsid w:val="00073A62"/>
    <w:rsid w:val="00074AF4"/>
    <w:rsid w:val="00075F43"/>
    <w:rsid w:val="00077FAB"/>
    <w:rsid w:val="00080D7A"/>
    <w:rsid w:val="00084FF1"/>
    <w:rsid w:val="00085EBD"/>
    <w:rsid w:val="000865DA"/>
    <w:rsid w:val="00086AA6"/>
    <w:rsid w:val="00090BF8"/>
    <w:rsid w:val="00090E76"/>
    <w:rsid w:val="00091D5E"/>
    <w:rsid w:val="000927DC"/>
    <w:rsid w:val="00093CD3"/>
    <w:rsid w:val="0009689A"/>
    <w:rsid w:val="00096CF3"/>
    <w:rsid w:val="00097500"/>
    <w:rsid w:val="000A03C7"/>
    <w:rsid w:val="000A1A26"/>
    <w:rsid w:val="000A4AF6"/>
    <w:rsid w:val="000A6104"/>
    <w:rsid w:val="000A7957"/>
    <w:rsid w:val="000A7E73"/>
    <w:rsid w:val="000B735D"/>
    <w:rsid w:val="000C3FB7"/>
    <w:rsid w:val="000C5830"/>
    <w:rsid w:val="000C6148"/>
    <w:rsid w:val="000C665E"/>
    <w:rsid w:val="000C6697"/>
    <w:rsid w:val="000C6BB0"/>
    <w:rsid w:val="000D1A69"/>
    <w:rsid w:val="000D1F72"/>
    <w:rsid w:val="000D2A7A"/>
    <w:rsid w:val="000D5CD6"/>
    <w:rsid w:val="000D63A9"/>
    <w:rsid w:val="000D775D"/>
    <w:rsid w:val="000D780F"/>
    <w:rsid w:val="000E5E70"/>
    <w:rsid w:val="000E7734"/>
    <w:rsid w:val="000F16F7"/>
    <w:rsid w:val="000F1B6E"/>
    <w:rsid w:val="000F2466"/>
    <w:rsid w:val="000F25EF"/>
    <w:rsid w:val="000F40F7"/>
    <w:rsid w:val="000F4510"/>
    <w:rsid w:val="000F4F9D"/>
    <w:rsid w:val="000F5F0E"/>
    <w:rsid w:val="00103535"/>
    <w:rsid w:val="001067FE"/>
    <w:rsid w:val="00106805"/>
    <w:rsid w:val="0010729E"/>
    <w:rsid w:val="001104A5"/>
    <w:rsid w:val="00115390"/>
    <w:rsid w:val="00115D51"/>
    <w:rsid w:val="00117DEF"/>
    <w:rsid w:val="001229BD"/>
    <w:rsid w:val="001250F4"/>
    <w:rsid w:val="00125CA0"/>
    <w:rsid w:val="0012690F"/>
    <w:rsid w:val="001358F1"/>
    <w:rsid w:val="00135B81"/>
    <w:rsid w:val="00135EB3"/>
    <w:rsid w:val="0013659E"/>
    <w:rsid w:val="00137B2E"/>
    <w:rsid w:val="001436E4"/>
    <w:rsid w:val="00147F85"/>
    <w:rsid w:val="00150766"/>
    <w:rsid w:val="00152269"/>
    <w:rsid w:val="00153E9E"/>
    <w:rsid w:val="001545E5"/>
    <w:rsid w:val="00155EF3"/>
    <w:rsid w:val="001570B8"/>
    <w:rsid w:val="00157A81"/>
    <w:rsid w:val="00163A94"/>
    <w:rsid w:val="001657BC"/>
    <w:rsid w:val="00167C22"/>
    <w:rsid w:val="00177D40"/>
    <w:rsid w:val="001811B3"/>
    <w:rsid w:val="00181EFF"/>
    <w:rsid w:val="00183DCE"/>
    <w:rsid w:val="00183F07"/>
    <w:rsid w:val="0019093F"/>
    <w:rsid w:val="0019328D"/>
    <w:rsid w:val="00193F9F"/>
    <w:rsid w:val="00196925"/>
    <w:rsid w:val="00197398"/>
    <w:rsid w:val="00197D9D"/>
    <w:rsid w:val="001A0EEF"/>
    <w:rsid w:val="001A1675"/>
    <w:rsid w:val="001A3920"/>
    <w:rsid w:val="001A5511"/>
    <w:rsid w:val="001A6387"/>
    <w:rsid w:val="001B0ED5"/>
    <w:rsid w:val="001B1ED1"/>
    <w:rsid w:val="001B2187"/>
    <w:rsid w:val="001B26D3"/>
    <w:rsid w:val="001B3100"/>
    <w:rsid w:val="001B3EA9"/>
    <w:rsid w:val="001C0E70"/>
    <w:rsid w:val="001C2915"/>
    <w:rsid w:val="001C3D56"/>
    <w:rsid w:val="001C3FAF"/>
    <w:rsid w:val="001C643A"/>
    <w:rsid w:val="001D05AA"/>
    <w:rsid w:val="001D0823"/>
    <w:rsid w:val="001D17D3"/>
    <w:rsid w:val="001D26F2"/>
    <w:rsid w:val="001D29F1"/>
    <w:rsid w:val="001D3D16"/>
    <w:rsid w:val="001D3E44"/>
    <w:rsid w:val="001D73A6"/>
    <w:rsid w:val="001D771B"/>
    <w:rsid w:val="001D774B"/>
    <w:rsid w:val="001D796B"/>
    <w:rsid w:val="001E082D"/>
    <w:rsid w:val="001E1FED"/>
    <w:rsid w:val="001E3EE8"/>
    <w:rsid w:val="001E5D0A"/>
    <w:rsid w:val="001F17A5"/>
    <w:rsid w:val="001F3BC6"/>
    <w:rsid w:val="001F4BBB"/>
    <w:rsid w:val="001F5B9C"/>
    <w:rsid w:val="001F5E61"/>
    <w:rsid w:val="00200C06"/>
    <w:rsid w:val="00201B8F"/>
    <w:rsid w:val="00201EBA"/>
    <w:rsid w:val="0020298D"/>
    <w:rsid w:val="0020310B"/>
    <w:rsid w:val="002040D0"/>
    <w:rsid w:val="00205B07"/>
    <w:rsid w:val="00210CB7"/>
    <w:rsid w:val="002112C2"/>
    <w:rsid w:val="002163A8"/>
    <w:rsid w:val="0021681D"/>
    <w:rsid w:val="00222D13"/>
    <w:rsid w:val="002246DB"/>
    <w:rsid w:val="00225E5C"/>
    <w:rsid w:val="00230396"/>
    <w:rsid w:val="00230D26"/>
    <w:rsid w:val="00233B83"/>
    <w:rsid w:val="0023487D"/>
    <w:rsid w:val="002348FF"/>
    <w:rsid w:val="0023696F"/>
    <w:rsid w:val="0023713B"/>
    <w:rsid w:val="002400B4"/>
    <w:rsid w:val="0024024D"/>
    <w:rsid w:val="00242AC9"/>
    <w:rsid w:val="00242EEB"/>
    <w:rsid w:val="00243DFC"/>
    <w:rsid w:val="00244A7E"/>
    <w:rsid w:val="002451BE"/>
    <w:rsid w:val="002452CB"/>
    <w:rsid w:val="0025027E"/>
    <w:rsid w:val="0025290B"/>
    <w:rsid w:val="00255083"/>
    <w:rsid w:val="0025575E"/>
    <w:rsid w:val="00261544"/>
    <w:rsid w:val="00263FEC"/>
    <w:rsid w:val="002654E3"/>
    <w:rsid w:val="00265D01"/>
    <w:rsid w:val="0026721B"/>
    <w:rsid w:val="00270AE5"/>
    <w:rsid w:val="00273C47"/>
    <w:rsid w:val="002754A0"/>
    <w:rsid w:val="0027583B"/>
    <w:rsid w:val="0027688B"/>
    <w:rsid w:val="002808C6"/>
    <w:rsid w:val="002816C5"/>
    <w:rsid w:val="00281ABF"/>
    <w:rsid w:val="0028544C"/>
    <w:rsid w:val="00285C9C"/>
    <w:rsid w:val="00290077"/>
    <w:rsid w:val="002909CF"/>
    <w:rsid w:val="002956D3"/>
    <w:rsid w:val="002969AB"/>
    <w:rsid w:val="00297A5B"/>
    <w:rsid w:val="00297BFE"/>
    <w:rsid w:val="002A0DB3"/>
    <w:rsid w:val="002A1893"/>
    <w:rsid w:val="002A7108"/>
    <w:rsid w:val="002B4823"/>
    <w:rsid w:val="002B6163"/>
    <w:rsid w:val="002B71C8"/>
    <w:rsid w:val="002B7D91"/>
    <w:rsid w:val="002C6778"/>
    <w:rsid w:val="002D6037"/>
    <w:rsid w:val="002E30E8"/>
    <w:rsid w:val="002E4EAB"/>
    <w:rsid w:val="002E520C"/>
    <w:rsid w:val="002E5F2B"/>
    <w:rsid w:val="002E7C22"/>
    <w:rsid w:val="002E7E58"/>
    <w:rsid w:val="002F65FD"/>
    <w:rsid w:val="002F6B36"/>
    <w:rsid w:val="00307A31"/>
    <w:rsid w:val="003109EF"/>
    <w:rsid w:val="0031142B"/>
    <w:rsid w:val="00311FA9"/>
    <w:rsid w:val="00312222"/>
    <w:rsid w:val="003138BF"/>
    <w:rsid w:val="003170C2"/>
    <w:rsid w:val="00320CA8"/>
    <w:rsid w:val="00322FA6"/>
    <w:rsid w:val="00323A45"/>
    <w:rsid w:val="00323C9D"/>
    <w:rsid w:val="003242A1"/>
    <w:rsid w:val="00325531"/>
    <w:rsid w:val="0032569C"/>
    <w:rsid w:val="00330804"/>
    <w:rsid w:val="003325E6"/>
    <w:rsid w:val="0033545A"/>
    <w:rsid w:val="003367C4"/>
    <w:rsid w:val="0033798E"/>
    <w:rsid w:val="00342F77"/>
    <w:rsid w:val="003435C0"/>
    <w:rsid w:val="00343873"/>
    <w:rsid w:val="0035003F"/>
    <w:rsid w:val="0035049C"/>
    <w:rsid w:val="00350E12"/>
    <w:rsid w:val="003510CA"/>
    <w:rsid w:val="00351ADD"/>
    <w:rsid w:val="00352BB7"/>
    <w:rsid w:val="00355671"/>
    <w:rsid w:val="00355998"/>
    <w:rsid w:val="003565BF"/>
    <w:rsid w:val="003569FC"/>
    <w:rsid w:val="00356B6A"/>
    <w:rsid w:val="00357717"/>
    <w:rsid w:val="00363E13"/>
    <w:rsid w:val="003646D8"/>
    <w:rsid w:val="00364805"/>
    <w:rsid w:val="00364852"/>
    <w:rsid w:val="003741C2"/>
    <w:rsid w:val="00376890"/>
    <w:rsid w:val="0037723D"/>
    <w:rsid w:val="00381EA5"/>
    <w:rsid w:val="00385A39"/>
    <w:rsid w:val="003904DD"/>
    <w:rsid w:val="0039174B"/>
    <w:rsid w:val="0039395B"/>
    <w:rsid w:val="00394955"/>
    <w:rsid w:val="00397BDE"/>
    <w:rsid w:val="003A0104"/>
    <w:rsid w:val="003A0710"/>
    <w:rsid w:val="003A1060"/>
    <w:rsid w:val="003A151B"/>
    <w:rsid w:val="003A32B3"/>
    <w:rsid w:val="003A3719"/>
    <w:rsid w:val="003A5298"/>
    <w:rsid w:val="003A5638"/>
    <w:rsid w:val="003A5C36"/>
    <w:rsid w:val="003A6AC1"/>
    <w:rsid w:val="003A7EED"/>
    <w:rsid w:val="003B24FA"/>
    <w:rsid w:val="003B419C"/>
    <w:rsid w:val="003B51A5"/>
    <w:rsid w:val="003B5605"/>
    <w:rsid w:val="003C01AF"/>
    <w:rsid w:val="003C12CD"/>
    <w:rsid w:val="003C13B0"/>
    <w:rsid w:val="003C7A12"/>
    <w:rsid w:val="003D1557"/>
    <w:rsid w:val="003D312C"/>
    <w:rsid w:val="003D3995"/>
    <w:rsid w:val="003D3CF7"/>
    <w:rsid w:val="003D47A6"/>
    <w:rsid w:val="003D5A15"/>
    <w:rsid w:val="003E09E1"/>
    <w:rsid w:val="003E25AC"/>
    <w:rsid w:val="003E3A6B"/>
    <w:rsid w:val="003F0B41"/>
    <w:rsid w:val="003F5B2C"/>
    <w:rsid w:val="00400BC2"/>
    <w:rsid w:val="00400D1B"/>
    <w:rsid w:val="00402128"/>
    <w:rsid w:val="004069EF"/>
    <w:rsid w:val="00407265"/>
    <w:rsid w:val="00411D32"/>
    <w:rsid w:val="00412A74"/>
    <w:rsid w:val="00414DC4"/>
    <w:rsid w:val="00415FD0"/>
    <w:rsid w:val="00420C25"/>
    <w:rsid w:val="00425352"/>
    <w:rsid w:val="00425BC2"/>
    <w:rsid w:val="004260B5"/>
    <w:rsid w:val="004262A1"/>
    <w:rsid w:val="00426FEB"/>
    <w:rsid w:val="004277B5"/>
    <w:rsid w:val="004309F6"/>
    <w:rsid w:val="00433B8B"/>
    <w:rsid w:val="004346E2"/>
    <w:rsid w:val="004353BE"/>
    <w:rsid w:val="004358B4"/>
    <w:rsid w:val="00437784"/>
    <w:rsid w:val="00440954"/>
    <w:rsid w:val="004449E6"/>
    <w:rsid w:val="00444F8F"/>
    <w:rsid w:val="00447ACA"/>
    <w:rsid w:val="00447B68"/>
    <w:rsid w:val="00447BEC"/>
    <w:rsid w:val="00452ADD"/>
    <w:rsid w:val="00456503"/>
    <w:rsid w:val="0046055D"/>
    <w:rsid w:val="0046257C"/>
    <w:rsid w:val="00466963"/>
    <w:rsid w:val="00466A29"/>
    <w:rsid w:val="00471EC3"/>
    <w:rsid w:val="00472489"/>
    <w:rsid w:val="0047766F"/>
    <w:rsid w:val="00480A19"/>
    <w:rsid w:val="00481939"/>
    <w:rsid w:val="00481CA7"/>
    <w:rsid w:val="00483A06"/>
    <w:rsid w:val="00483F99"/>
    <w:rsid w:val="00484AF0"/>
    <w:rsid w:val="00486C2C"/>
    <w:rsid w:val="00486E5F"/>
    <w:rsid w:val="00487186"/>
    <w:rsid w:val="004871C6"/>
    <w:rsid w:val="00487E5D"/>
    <w:rsid w:val="00490A21"/>
    <w:rsid w:val="004916CA"/>
    <w:rsid w:val="00491D9D"/>
    <w:rsid w:val="00494560"/>
    <w:rsid w:val="00496DFD"/>
    <w:rsid w:val="004973A5"/>
    <w:rsid w:val="00497630"/>
    <w:rsid w:val="004A0DBF"/>
    <w:rsid w:val="004A1642"/>
    <w:rsid w:val="004A3AE3"/>
    <w:rsid w:val="004A5890"/>
    <w:rsid w:val="004A719C"/>
    <w:rsid w:val="004B16F2"/>
    <w:rsid w:val="004B64AD"/>
    <w:rsid w:val="004B6897"/>
    <w:rsid w:val="004C0242"/>
    <w:rsid w:val="004C326F"/>
    <w:rsid w:val="004C33B3"/>
    <w:rsid w:val="004C3ED7"/>
    <w:rsid w:val="004D169D"/>
    <w:rsid w:val="004D1D01"/>
    <w:rsid w:val="004D2ACA"/>
    <w:rsid w:val="004D3A05"/>
    <w:rsid w:val="004D3DB4"/>
    <w:rsid w:val="004D3F14"/>
    <w:rsid w:val="004D6830"/>
    <w:rsid w:val="004D72E8"/>
    <w:rsid w:val="004E03F4"/>
    <w:rsid w:val="004E45BD"/>
    <w:rsid w:val="004E601B"/>
    <w:rsid w:val="004E7856"/>
    <w:rsid w:val="004F1470"/>
    <w:rsid w:val="004F4389"/>
    <w:rsid w:val="005017B3"/>
    <w:rsid w:val="0050476E"/>
    <w:rsid w:val="00505497"/>
    <w:rsid w:val="00507388"/>
    <w:rsid w:val="0051062A"/>
    <w:rsid w:val="00516252"/>
    <w:rsid w:val="00517776"/>
    <w:rsid w:val="00520266"/>
    <w:rsid w:val="005229BE"/>
    <w:rsid w:val="005231C0"/>
    <w:rsid w:val="00524605"/>
    <w:rsid w:val="00525444"/>
    <w:rsid w:val="00525D0F"/>
    <w:rsid w:val="00527E82"/>
    <w:rsid w:val="005309DA"/>
    <w:rsid w:val="005326C9"/>
    <w:rsid w:val="00532A60"/>
    <w:rsid w:val="0053539B"/>
    <w:rsid w:val="00536953"/>
    <w:rsid w:val="0054364A"/>
    <w:rsid w:val="005437A9"/>
    <w:rsid w:val="00543F9D"/>
    <w:rsid w:val="00544567"/>
    <w:rsid w:val="00544B2C"/>
    <w:rsid w:val="005451EC"/>
    <w:rsid w:val="00545254"/>
    <w:rsid w:val="005472DB"/>
    <w:rsid w:val="005527EC"/>
    <w:rsid w:val="00552F3A"/>
    <w:rsid w:val="0055313E"/>
    <w:rsid w:val="00555286"/>
    <w:rsid w:val="0055786C"/>
    <w:rsid w:val="005578B7"/>
    <w:rsid w:val="00563DA0"/>
    <w:rsid w:val="00563F67"/>
    <w:rsid w:val="00565464"/>
    <w:rsid w:val="0056711B"/>
    <w:rsid w:val="005671B8"/>
    <w:rsid w:val="005705B0"/>
    <w:rsid w:val="00574599"/>
    <w:rsid w:val="00577486"/>
    <w:rsid w:val="00577F8A"/>
    <w:rsid w:val="005826AD"/>
    <w:rsid w:val="00584C37"/>
    <w:rsid w:val="00585B9E"/>
    <w:rsid w:val="00590BFC"/>
    <w:rsid w:val="00594C53"/>
    <w:rsid w:val="00597173"/>
    <w:rsid w:val="0059794B"/>
    <w:rsid w:val="005A21AC"/>
    <w:rsid w:val="005A21EC"/>
    <w:rsid w:val="005A3427"/>
    <w:rsid w:val="005A4C8B"/>
    <w:rsid w:val="005A7FDA"/>
    <w:rsid w:val="005B054A"/>
    <w:rsid w:val="005B2405"/>
    <w:rsid w:val="005B273E"/>
    <w:rsid w:val="005B3341"/>
    <w:rsid w:val="005B3386"/>
    <w:rsid w:val="005B5AD0"/>
    <w:rsid w:val="005B6F24"/>
    <w:rsid w:val="005B7450"/>
    <w:rsid w:val="005C23ED"/>
    <w:rsid w:val="005C2553"/>
    <w:rsid w:val="005C3635"/>
    <w:rsid w:val="005C46A6"/>
    <w:rsid w:val="005C6EDE"/>
    <w:rsid w:val="005D380B"/>
    <w:rsid w:val="005D4F07"/>
    <w:rsid w:val="005D6008"/>
    <w:rsid w:val="005E2049"/>
    <w:rsid w:val="005E2631"/>
    <w:rsid w:val="005E2B7C"/>
    <w:rsid w:val="005E418D"/>
    <w:rsid w:val="005E5D83"/>
    <w:rsid w:val="005E626A"/>
    <w:rsid w:val="005E726E"/>
    <w:rsid w:val="005E7A63"/>
    <w:rsid w:val="005F00A9"/>
    <w:rsid w:val="005F0914"/>
    <w:rsid w:val="005F09D0"/>
    <w:rsid w:val="005F0DD5"/>
    <w:rsid w:val="005F2A63"/>
    <w:rsid w:val="005F3485"/>
    <w:rsid w:val="005F5A1E"/>
    <w:rsid w:val="005F6ACA"/>
    <w:rsid w:val="00605294"/>
    <w:rsid w:val="0060655F"/>
    <w:rsid w:val="00606873"/>
    <w:rsid w:val="00610EBA"/>
    <w:rsid w:val="006145E3"/>
    <w:rsid w:val="00614FEA"/>
    <w:rsid w:val="006151AF"/>
    <w:rsid w:val="00616CD7"/>
    <w:rsid w:val="00620D25"/>
    <w:rsid w:val="006213B6"/>
    <w:rsid w:val="00623515"/>
    <w:rsid w:val="006267D6"/>
    <w:rsid w:val="00626AEE"/>
    <w:rsid w:val="006278FC"/>
    <w:rsid w:val="00634808"/>
    <w:rsid w:val="00635399"/>
    <w:rsid w:val="00636E24"/>
    <w:rsid w:val="00637C12"/>
    <w:rsid w:val="00641B53"/>
    <w:rsid w:val="00641D76"/>
    <w:rsid w:val="00642146"/>
    <w:rsid w:val="00642B45"/>
    <w:rsid w:val="006444EC"/>
    <w:rsid w:val="00645131"/>
    <w:rsid w:val="006460E3"/>
    <w:rsid w:val="00646170"/>
    <w:rsid w:val="00647B23"/>
    <w:rsid w:val="0065506E"/>
    <w:rsid w:val="00657C10"/>
    <w:rsid w:val="00657E9F"/>
    <w:rsid w:val="00665E9A"/>
    <w:rsid w:val="00667CD1"/>
    <w:rsid w:val="00670A7A"/>
    <w:rsid w:val="0067241F"/>
    <w:rsid w:val="006750DC"/>
    <w:rsid w:val="00677A76"/>
    <w:rsid w:val="0068019F"/>
    <w:rsid w:val="00683C7C"/>
    <w:rsid w:val="00683CD6"/>
    <w:rsid w:val="00684047"/>
    <w:rsid w:val="00685B0C"/>
    <w:rsid w:val="00690361"/>
    <w:rsid w:val="00692707"/>
    <w:rsid w:val="00693245"/>
    <w:rsid w:val="0069677B"/>
    <w:rsid w:val="00697BB5"/>
    <w:rsid w:val="006A011E"/>
    <w:rsid w:val="006A11BB"/>
    <w:rsid w:val="006A11EA"/>
    <w:rsid w:val="006A1A35"/>
    <w:rsid w:val="006A5698"/>
    <w:rsid w:val="006A6ABB"/>
    <w:rsid w:val="006A7E9B"/>
    <w:rsid w:val="006B09F7"/>
    <w:rsid w:val="006B160C"/>
    <w:rsid w:val="006B17E3"/>
    <w:rsid w:val="006B236F"/>
    <w:rsid w:val="006B246D"/>
    <w:rsid w:val="006B4711"/>
    <w:rsid w:val="006C0F04"/>
    <w:rsid w:val="006C18B6"/>
    <w:rsid w:val="006C3BE4"/>
    <w:rsid w:val="006C3D9A"/>
    <w:rsid w:val="006C3DCE"/>
    <w:rsid w:val="006D0DA0"/>
    <w:rsid w:val="006D16CE"/>
    <w:rsid w:val="006D367E"/>
    <w:rsid w:val="006D3F5E"/>
    <w:rsid w:val="006D7053"/>
    <w:rsid w:val="006E31D9"/>
    <w:rsid w:val="006E4003"/>
    <w:rsid w:val="006F03EA"/>
    <w:rsid w:val="006F33C6"/>
    <w:rsid w:val="006F42C0"/>
    <w:rsid w:val="006F6AEE"/>
    <w:rsid w:val="006F75CD"/>
    <w:rsid w:val="006F7E9F"/>
    <w:rsid w:val="00700573"/>
    <w:rsid w:val="007015F1"/>
    <w:rsid w:val="00701918"/>
    <w:rsid w:val="0070267C"/>
    <w:rsid w:val="00702C6D"/>
    <w:rsid w:val="00704445"/>
    <w:rsid w:val="00704800"/>
    <w:rsid w:val="00710020"/>
    <w:rsid w:val="00711D17"/>
    <w:rsid w:val="00720DBC"/>
    <w:rsid w:val="00725516"/>
    <w:rsid w:val="00727F29"/>
    <w:rsid w:val="00730B61"/>
    <w:rsid w:val="00733228"/>
    <w:rsid w:val="00733FFE"/>
    <w:rsid w:val="00734C1B"/>
    <w:rsid w:val="00734D71"/>
    <w:rsid w:val="00734D91"/>
    <w:rsid w:val="00735EAF"/>
    <w:rsid w:val="00736AAF"/>
    <w:rsid w:val="007375E9"/>
    <w:rsid w:val="007414CC"/>
    <w:rsid w:val="007425C5"/>
    <w:rsid w:val="00742BC2"/>
    <w:rsid w:val="007445E5"/>
    <w:rsid w:val="0075254A"/>
    <w:rsid w:val="00753225"/>
    <w:rsid w:val="00754E90"/>
    <w:rsid w:val="007553D2"/>
    <w:rsid w:val="007568F3"/>
    <w:rsid w:val="00756E41"/>
    <w:rsid w:val="007623CD"/>
    <w:rsid w:val="007658AE"/>
    <w:rsid w:val="0077189C"/>
    <w:rsid w:val="00776BAD"/>
    <w:rsid w:val="0078035B"/>
    <w:rsid w:val="007805D5"/>
    <w:rsid w:val="0078085A"/>
    <w:rsid w:val="007832EE"/>
    <w:rsid w:val="0079198F"/>
    <w:rsid w:val="007921A5"/>
    <w:rsid w:val="00794A41"/>
    <w:rsid w:val="007A1C96"/>
    <w:rsid w:val="007A3CE7"/>
    <w:rsid w:val="007A42B0"/>
    <w:rsid w:val="007A4552"/>
    <w:rsid w:val="007A4DC4"/>
    <w:rsid w:val="007A6671"/>
    <w:rsid w:val="007A66D4"/>
    <w:rsid w:val="007A6E21"/>
    <w:rsid w:val="007B1863"/>
    <w:rsid w:val="007B2AB0"/>
    <w:rsid w:val="007B6381"/>
    <w:rsid w:val="007B6525"/>
    <w:rsid w:val="007B6D63"/>
    <w:rsid w:val="007B765C"/>
    <w:rsid w:val="007C0255"/>
    <w:rsid w:val="007C4607"/>
    <w:rsid w:val="007C4F78"/>
    <w:rsid w:val="007C662E"/>
    <w:rsid w:val="007C6F16"/>
    <w:rsid w:val="007C722F"/>
    <w:rsid w:val="007C7973"/>
    <w:rsid w:val="007C7F9D"/>
    <w:rsid w:val="007D088E"/>
    <w:rsid w:val="007D0986"/>
    <w:rsid w:val="007D2FD0"/>
    <w:rsid w:val="007D3611"/>
    <w:rsid w:val="007D41EE"/>
    <w:rsid w:val="007D5419"/>
    <w:rsid w:val="007D5D8D"/>
    <w:rsid w:val="007D6CD6"/>
    <w:rsid w:val="007D6E82"/>
    <w:rsid w:val="007E4BE5"/>
    <w:rsid w:val="007E58BA"/>
    <w:rsid w:val="007E6389"/>
    <w:rsid w:val="007F3B3D"/>
    <w:rsid w:val="007F4927"/>
    <w:rsid w:val="007F7EF8"/>
    <w:rsid w:val="0080780B"/>
    <w:rsid w:val="00807D9E"/>
    <w:rsid w:val="00807FB6"/>
    <w:rsid w:val="00810061"/>
    <w:rsid w:val="008104DC"/>
    <w:rsid w:val="008161BA"/>
    <w:rsid w:val="00817A30"/>
    <w:rsid w:val="008230EE"/>
    <w:rsid w:val="00825459"/>
    <w:rsid w:val="00825D4C"/>
    <w:rsid w:val="00826576"/>
    <w:rsid w:val="00826967"/>
    <w:rsid w:val="00826AA7"/>
    <w:rsid w:val="00827CF9"/>
    <w:rsid w:val="00827F5C"/>
    <w:rsid w:val="00831734"/>
    <w:rsid w:val="008359D1"/>
    <w:rsid w:val="0083689F"/>
    <w:rsid w:val="00836F49"/>
    <w:rsid w:val="00844379"/>
    <w:rsid w:val="008515F8"/>
    <w:rsid w:val="00852824"/>
    <w:rsid w:val="0085479C"/>
    <w:rsid w:val="00863DB3"/>
    <w:rsid w:val="008640BC"/>
    <w:rsid w:val="00866BAF"/>
    <w:rsid w:val="008673ED"/>
    <w:rsid w:val="00870429"/>
    <w:rsid w:val="00870EA8"/>
    <w:rsid w:val="0087282C"/>
    <w:rsid w:val="00873629"/>
    <w:rsid w:val="00873747"/>
    <w:rsid w:val="00881347"/>
    <w:rsid w:val="00885911"/>
    <w:rsid w:val="008861FD"/>
    <w:rsid w:val="00892472"/>
    <w:rsid w:val="00895A09"/>
    <w:rsid w:val="00895A1B"/>
    <w:rsid w:val="00895CEC"/>
    <w:rsid w:val="00896066"/>
    <w:rsid w:val="00896814"/>
    <w:rsid w:val="008A111A"/>
    <w:rsid w:val="008A4A18"/>
    <w:rsid w:val="008A4D5D"/>
    <w:rsid w:val="008A6140"/>
    <w:rsid w:val="008A7986"/>
    <w:rsid w:val="008B00BA"/>
    <w:rsid w:val="008B07E4"/>
    <w:rsid w:val="008B1BD6"/>
    <w:rsid w:val="008B29ED"/>
    <w:rsid w:val="008B2F3C"/>
    <w:rsid w:val="008B320F"/>
    <w:rsid w:val="008B5908"/>
    <w:rsid w:val="008B6CA0"/>
    <w:rsid w:val="008C57EE"/>
    <w:rsid w:val="008C6088"/>
    <w:rsid w:val="008C6162"/>
    <w:rsid w:val="008C64E9"/>
    <w:rsid w:val="008C6554"/>
    <w:rsid w:val="008D2A5D"/>
    <w:rsid w:val="008D4C77"/>
    <w:rsid w:val="008D6451"/>
    <w:rsid w:val="008E19D0"/>
    <w:rsid w:val="008E4EED"/>
    <w:rsid w:val="008F004D"/>
    <w:rsid w:val="008F0E34"/>
    <w:rsid w:val="008F168C"/>
    <w:rsid w:val="008F37FE"/>
    <w:rsid w:val="008F4263"/>
    <w:rsid w:val="008F5F3F"/>
    <w:rsid w:val="008F6412"/>
    <w:rsid w:val="008F7743"/>
    <w:rsid w:val="00900BE1"/>
    <w:rsid w:val="00900F4D"/>
    <w:rsid w:val="00905688"/>
    <w:rsid w:val="00905694"/>
    <w:rsid w:val="00905BDA"/>
    <w:rsid w:val="00906822"/>
    <w:rsid w:val="00907E00"/>
    <w:rsid w:val="0091095C"/>
    <w:rsid w:val="0091193F"/>
    <w:rsid w:val="00911D41"/>
    <w:rsid w:val="0091248B"/>
    <w:rsid w:val="00914144"/>
    <w:rsid w:val="00914CB3"/>
    <w:rsid w:val="009171AF"/>
    <w:rsid w:val="009200B6"/>
    <w:rsid w:val="00921B24"/>
    <w:rsid w:val="009224F4"/>
    <w:rsid w:val="00922B22"/>
    <w:rsid w:val="00924760"/>
    <w:rsid w:val="0092565F"/>
    <w:rsid w:val="0093029C"/>
    <w:rsid w:val="009307E6"/>
    <w:rsid w:val="0093268E"/>
    <w:rsid w:val="00932BD4"/>
    <w:rsid w:val="00934933"/>
    <w:rsid w:val="009349D9"/>
    <w:rsid w:val="0093588A"/>
    <w:rsid w:val="0093709A"/>
    <w:rsid w:val="00937313"/>
    <w:rsid w:val="00937719"/>
    <w:rsid w:val="00941AC1"/>
    <w:rsid w:val="00941E3D"/>
    <w:rsid w:val="009472CF"/>
    <w:rsid w:val="009508E4"/>
    <w:rsid w:val="00953044"/>
    <w:rsid w:val="00954B56"/>
    <w:rsid w:val="00956263"/>
    <w:rsid w:val="0096054F"/>
    <w:rsid w:val="00960D19"/>
    <w:rsid w:val="00960FA1"/>
    <w:rsid w:val="009613D8"/>
    <w:rsid w:val="00961890"/>
    <w:rsid w:val="0096210E"/>
    <w:rsid w:val="00964AC7"/>
    <w:rsid w:val="00964B94"/>
    <w:rsid w:val="00964FA2"/>
    <w:rsid w:val="00966B86"/>
    <w:rsid w:val="009671F1"/>
    <w:rsid w:val="00974AE3"/>
    <w:rsid w:val="009775E3"/>
    <w:rsid w:val="00980236"/>
    <w:rsid w:val="00980B95"/>
    <w:rsid w:val="00982F66"/>
    <w:rsid w:val="00983803"/>
    <w:rsid w:val="009838C2"/>
    <w:rsid w:val="00983E90"/>
    <w:rsid w:val="00984B23"/>
    <w:rsid w:val="00985723"/>
    <w:rsid w:val="009863D5"/>
    <w:rsid w:val="00986957"/>
    <w:rsid w:val="0098780F"/>
    <w:rsid w:val="00990371"/>
    <w:rsid w:val="009907B6"/>
    <w:rsid w:val="00993F9E"/>
    <w:rsid w:val="00995895"/>
    <w:rsid w:val="0099706B"/>
    <w:rsid w:val="00997831"/>
    <w:rsid w:val="009A0920"/>
    <w:rsid w:val="009A1A16"/>
    <w:rsid w:val="009A1E5F"/>
    <w:rsid w:val="009A4C7B"/>
    <w:rsid w:val="009A5142"/>
    <w:rsid w:val="009A7262"/>
    <w:rsid w:val="009B30C5"/>
    <w:rsid w:val="009B5581"/>
    <w:rsid w:val="009C2AD8"/>
    <w:rsid w:val="009C476F"/>
    <w:rsid w:val="009C7704"/>
    <w:rsid w:val="009D0ADD"/>
    <w:rsid w:val="009D20EC"/>
    <w:rsid w:val="009D28B7"/>
    <w:rsid w:val="009D37AA"/>
    <w:rsid w:val="009D3C4B"/>
    <w:rsid w:val="009D4746"/>
    <w:rsid w:val="009D4836"/>
    <w:rsid w:val="009D65FD"/>
    <w:rsid w:val="009E49FD"/>
    <w:rsid w:val="009E63EE"/>
    <w:rsid w:val="009E6576"/>
    <w:rsid w:val="009F0C4D"/>
    <w:rsid w:val="009F19FA"/>
    <w:rsid w:val="009F1D2A"/>
    <w:rsid w:val="009F2966"/>
    <w:rsid w:val="009F2D51"/>
    <w:rsid w:val="009F73EB"/>
    <w:rsid w:val="00A00BB2"/>
    <w:rsid w:val="00A030B3"/>
    <w:rsid w:val="00A0400C"/>
    <w:rsid w:val="00A055AA"/>
    <w:rsid w:val="00A069A3"/>
    <w:rsid w:val="00A10056"/>
    <w:rsid w:val="00A126BE"/>
    <w:rsid w:val="00A12B40"/>
    <w:rsid w:val="00A178F7"/>
    <w:rsid w:val="00A21B26"/>
    <w:rsid w:val="00A2286F"/>
    <w:rsid w:val="00A22BA6"/>
    <w:rsid w:val="00A2312B"/>
    <w:rsid w:val="00A23F49"/>
    <w:rsid w:val="00A248CD"/>
    <w:rsid w:val="00A25187"/>
    <w:rsid w:val="00A31FAC"/>
    <w:rsid w:val="00A325C4"/>
    <w:rsid w:val="00A35474"/>
    <w:rsid w:val="00A3571C"/>
    <w:rsid w:val="00A419CC"/>
    <w:rsid w:val="00A42779"/>
    <w:rsid w:val="00A44160"/>
    <w:rsid w:val="00A46F97"/>
    <w:rsid w:val="00A477E1"/>
    <w:rsid w:val="00A51635"/>
    <w:rsid w:val="00A536AE"/>
    <w:rsid w:val="00A547A8"/>
    <w:rsid w:val="00A56822"/>
    <w:rsid w:val="00A57541"/>
    <w:rsid w:val="00A575E2"/>
    <w:rsid w:val="00A602CC"/>
    <w:rsid w:val="00A626B0"/>
    <w:rsid w:val="00A641B8"/>
    <w:rsid w:val="00A64AED"/>
    <w:rsid w:val="00A67055"/>
    <w:rsid w:val="00A67E7B"/>
    <w:rsid w:val="00A7031F"/>
    <w:rsid w:val="00A74E8D"/>
    <w:rsid w:val="00A80023"/>
    <w:rsid w:val="00A8122F"/>
    <w:rsid w:val="00A82689"/>
    <w:rsid w:val="00A85920"/>
    <w:rsid w:val="00A9118B"/>
    <w:rsid w:val="00A917B5"/>
    <w:rsid w:val="00A92727"/>
    <w:rsid w:val="00A9338C"/>
    <w:rsid w:val="00A936DB"/>
    <w:rsid w:val="00A95BC2"/>
    <w:rsid w:val="00A967A7"/>
    <w:rsid w:val="00AA0012"/>
    <w:rsid w:val="00AA04F4"/>
    <w:rsid w:val="00AA087C"/>
    <w:rsid w:val="00AA23CB"/>
    <w:rsid w:val="00AA4FEC"/>
    <w:rsid w:val="00AA6CEF"/>
    <w:rsid w:val="00AA7270"/>
    <w:rsid w:val="00AA7D2D"/>
    <w:rsid w:val="00AB01EF"/>
    <w:rsid w:val="00AB15B6"/>
    <w:rsid w:val="00AB3AE2"/>
    <w:rsid w:val="00AB3D48"/>
    <w:rsid w:val="00AB3FCD"/>
    <w:rsid w:val="00AB4817"/>
    <w:rsid w:val="00AB589C"/>
    <w:rsid w:val="00AB6E12"/>
    <w:rsid w:val="00AB7B34"/>
    <w:rsid w:val="00AC0538"/>
    <w:rsid w:val="00AC09E0"/>
    <w:rsid w:val="00AC13FF"/>
    <w:rsid w:val="00AC1C3C"/>
    <w:rsid w:val="00AC27C4"/>
    <w:rsid w:val="00AC374D"/>
    <w:rsid w:val="00AC3CB7"/>
    <w:rsid w:val="00AC475F"/>
    <w:rsid w:val="00AC5AFF"/>
    <w:rsid w:val="00AD21FC"/>
    <w:rsid w:val="00AD2F67"/>
    <w:rsid w:val="00AD403F"/>
    <w:rsid w:val="00AE28D9"/>
    <w:rsid w:val="00AE3895"/>
    <w:rsid w:val="00AE3DE4"/>
    <w:rsid w:val="00AE3FE8"/>
    <w:rsid w:val="00AE4B72"/>
    <w:rsid w:val="00AE74AA"/>
    <w:rsid w:val="00AE7F2F"/>
    <w:rsid w:val="00AF5913"/>
    <w:rsid w:val="00AF5DAB"/>
    <w:rsid w:val="00B00DAC"/>
    <w:rsid w:val="00B0101B"/>
    <w:rsid w:val="00B01623"/>
    <w:rsid w:val="00B03F04"/>
    <w:rsid w:val="00B03F0A"/>
    <w:rsid w:val="00B05910"/>
    <w:rsid w:val="00B07D35"/>
    <w:rsid w:val="00B11483"/>
    <w:rsid w:val="00B12015"/>
    <w:rsid w:val="00B12524"/>
    <w:rsid w:val="00B1468D"/>
    <w:rsid w:val="00B159E1"/>
    <w:rsid w:val="00B16F30"/>
    <w:rsid w:val="00B1754D"/>
    <w:rsid w:val="00B20E11"/>
    <w:rsid w:val="00B20EC9"/>
    <w:rsid w:val="00B2329C"/>
    <w:rsid w:val="00B25818"/>
    <w:rsid w:val="00B2651B"/>
    <w:rsid w:val="00B31976"/>
    <w:rsid w:val="00B332DB"/>
    <w:rsid w:val="00B33C19"/>
    <w:rsid w:val="00B33C96"/>
    <w:rsid w:val="00B36392"/>
    <w:rsid w:val="00B36DB3"/>
    <w:rsid w:val="00B37F58"/>
    <w:rsid w:val="00B424FE"/>
    <w:rsid w:val="00B43AAF"/>
    <w:rsid w:val="00B463FA"/>
    <w:rsid w:val="00B4722B"/>
    <w:rsid w:val="00B50531"/>
    <w:rsid w:val="00B52046"/>
    <w:rsid w:val="00B557C3"/>
    <w:rsid w:val="00B5753A"/>
    <w:rsid w:val="00B62C3D"/>
    <w:rsid w:val="00B62F72"/>
    <w:rsid w:val="00B65BDE"/>
    <w:rsid w:val="00B7175E"/>
    <w:rsid w:val="00B71C83"/>
    <w:rsid w:val="00B73875"/>
    <w:rsid w:val="00B7629F"/>
    <w:rsid w:val="00B77F3E"/>
    <w:rsid w:val="00B80D4B"/>
    <w:rsid w:val="00B812E9"/>
    <w:rsid w:val="00B81B69"/>
    <w:rsid w:val="00B83744"/>
    <w:rsid w:val="00B8396F"/>
    <w:rsid w:val="00B858F5"/>
    <w:rsid w:val="00B85B54"/>
    <w:rsid w:val="00B92193"/>
    <w:rsid w:val="00B931C6"/>
    <w:rsid w:val="00B94E22"/>
    <w:rsid w:val="00B95908"/>
    <w:rsid w:val="00B96A1F"/>
    <w:rsid w:val="00B97BB3"/>
    <w:rsid w:val="00BA444E"/>
    <w:rsid w:val="00BA670F"/>
    <w:rsid w:val="00BA767E"/>
    <w:rsid w:val="00BB2173"/>
    <w:rsid w:val="00BB3288"/>
    <w:rsid w:val="00BB5443"/>
    <w:rsid w:val="00BB6E9B"/>
    <w:rsid w:val="00BC17E0"/>
    <w:rsid w:val="00BC22E2"/>
    <w:rsid w:val="00BC24F5"/>
    <w:rsid w:val="00BC56F0"/>
    <w:rsid w:val="00BC7886"/>
    <w:rsid w:val="00BD016F"/>
    <w:rsid w:val="00BD1BB6"/>
    <w:rsid w:val="00BD350E"/>
    <w:rsid w:val="00BD3D68"/>
    <w:rsid w:val="00BD5301"/>
    <w:rsid w:val="00BD5DC4"/>
    <w:rsid w:val="00BD7217"/>
    <w:rsid w:val="00BE0868"/>
    <w:rsid w:val="00BE21EA"/>
    <w:rsid w:val="00BE2E1F"/>
    <w:rsid w:val="00BE3DDE"/>
    <w:rsid w:val="00BF0720"/>
    <w:rsid w:val="00BF16D2"/>
    <w:rsid w:val="00BF1C40"/>
    <w:rsid w:val="00BF76D9"/>
    <w:rsid w:val="00BF79FC"/>
    <w:rsid w:val="00C0002D"/>
    <w:rsid w:val="00C03897"/>
    <w:rsid w:val="00C05389"/>
    <w:rsid w:val="00C066A8"/>
    <w:rsid w:val="00C06F7E"/>
    <w:rsid w:val="00C0752C"/>
    <w:rsid w:val="00C1000D"/>
    <w:rsid w:val="00C10340"/>
    <w:rsid w:val="00C11CE5"/>
    <w:rsid w:val="00C13E52"/>
    <w:rsid w:val="00C14FE8"/>
    <w:rsid w:val="00C17D02"/>
    <w:rsid w:val="00C210BB"/>
    <w:rsid w:val="00C2281A"/>
    <w:rsid w:val="00C23439"/>
    <w:rsid w:val="00C25891"/>
    <w:rsid w:val="00C25C7B"/>
    <w:rsid w:val="00C31429"/>
    <w:rsid w:val="00C332A3"/>
    <w:rsid w:val="00C342AB"/>
    <w:rsid w:val="00C34F3B"/>
    <w:rsid w:val="00C35AFC"/>
    <w:rsid w:val="00C3602D"/>
    <w:rsid w:val="00C36CD2"/>
    <w:rsid w:val="00C43BCD"/>
    <w:rsid w:val="00C43C24"/>
    <w:rsid w:val="00C45662"/>
    <w:rsid w:val="00C4591B"/>
    <w:rsid w:val="00C52437"/>
    <w:rsid w:val="00C52ED3"/>
    <w:rsid w:val="00C55608"/>
    <w:rsid w:val="00C55DDA"/>
    <w:rsid w:val="00C567F9"/>
    <w:rsid w:val="00C56A6D"/>
    <w:rsid w:val="00C56E4D"/>
    <w:rsid w:val="00C573F7"/>
    <w:rsid w:val="00C60615"/>
    <w:rsid w:val="00C60992"/>
    <w:rsid w:val="00C60F16"/>
    <w:rsid w:val="00C61602"/>
    <w:rsid w:val="00C61812"/>
    <w:rsid w:val="00C61D33"/>
    <w:rsid w:val="00C6680E"/>
    <w:rsid w:val="00C7010A"/>
    <w:rsid w:val="00C7080D"/>
    <w:rsid w:val="00C74AD1"/>
    <w:rsid w:val="00C75266"/>
    <w:rsid w:val="00C80E29"/>
    <w:rsid w:val="00C816BB"/>
    <w:rsid w:val="00C84228"/>
    <w:rsid w:val="00C91F8E"/>
    <w:rsid w:val="00C921D3"/>
    <w:rsid w:val="00C92CA3"/>
    <w:rsid w:val="00C93570"/>
    <w:rsid w:val="00C94C0B"/>
    <w:rsid w:val="00CA06FE"/>
    <w:rsid w:val="00CA0720"/>
    <w:rsid w:val="00CA21BD"/>
    <w:rsid w:val="00CA298C"/>
    <w:rsid w:val="00CA2B1E"/>
    <w:rsid w:val="00CA2D7B"/>
    <w:rsid w:val="00CA7245"/>
    <w:rsid w:val="00CB1739"/>
    <w:rsid w:val="00CB226F"/>
    <w:rsid w:val="00CB2811"/>
    <w:rsid w:val="00CB30A9"/>
    <w:rsid w:val="00CB3866"/>
    <w:rsid w:val="00CB51A1"/>
    <w:rsid w:val="00CC1E0B"/>
    <w:rsid w:val="00CC5635"/>
    <w:rsid w:val="00CD3AF1"/>
    <w:rsid w:val="00CD4F7A"/>
    <w:rsid w:val="00CD5169"/>
    <w:rsid w:val="00CD7334"/>
    <w:rsid w:val="00CE00C8"/>
    <w:rsid w:val="00CE1B54"/>
    <w:rsid w:val="00CE3E31"/>
    <w:rsid w:val="00CE4CEC"/>
    <w:rsid w:val="00CE7408"/>
    <w:rsid w:val="00CE7755"/>
    <w:rsid w:val="00CF037F"/>
    <w:rsid w:val="00CF0B24"/>
    <w:rsid w:val="00CF6A30"/>
    <w:rsid w:val="00CF7A5F"/>
    <w:rsid w:val="00D0055C"/>
    <w:rsid w:val="00D00E04"/>
    <w:rsid w:val="00D05CBB"/>
    <w:rsid w:val="00D07E9A"/>
    <w:rsid w:val="00D13265"/>
    <w:rsid w:val="00D138EC"/>
    <w:rsid w:val="00D149D0"/>
    <w:rsid w:val="00D151EF"/>
    <w:rsid w:val="00D2105F"/>
    <w:rsid w:val="00D226E1"/>
    <w:rsid w:val="00D243DF"/>
    <w:rsid w:val="00D25347"/>
    <w:rsid w:val="00D2553F"/>
    <w:rsid w:val="00D25621"/>
    <w:rsid w:val="00D30160"/>
    <w:rsid w:val="00D3152D"/>
    <w:rsid w:val="00D32277"/>
    <w:rsid w:val="00D333C4"/>
    <w:rsid w:val="00D37D31"/>
    <w:rsid w:val="00D42783"/>
    <w:rsid w:val="00D43276"/>
    <w:rsid w:val="00D44F76"/>
    <w:rsid w:val="00D46B16"/>
    <w:rsid w:val="00D478AE"/>
    <w:rsid w:val="00D503C3"/>
    <w:rsid w:val="00D50549"/>
    <w:rsid w:val="00D50C17"/>
    <w:rsid w:val="00D530A4"/>
    <w:rsid w:val="00D53A09"/>
    <w:rsid w:val="00D5495D"/>
    <w:rsid w:val="00D56B49"/>
    <w:rsid w:val="00D608A4"/>
    <w:rsid w:val="00D634F5"/>
    <w:rsid w:val="00D64D55"/>
    <w:rsid w:val="00D67222"/>
    <w:rsid w:val="00D73F89"/>
    <w:rsid w:val="00D740A5"/>
    <w:rsid w:val="00D750BA"/>
    <w:rsid w:val="00D77095"/>
    <w:rsid w:val="00D82AF0"/>
    <w:rsid w:val="00D8397F"/>
    <w:rsid w:val="00D87552"/>
    <w:rsid w:val="00D92B2B"/>
    <w:rsid w:val="00D96440"/>
    <w:rsid w:val="00D965B9"/>
    <w:rsid w:val="00DA0198"/>
    <w:rsid w:val="00DA222B"/>
    <w:rsid w:val="00DA5334"/>
    <w:rsid w:val="00DA5E8F"/>
    <w:rsid w:val="00DA6561"/>
    <w:rsid w:val="00DA682A"/>
    <w:rsid w:val="00DA7F9A"/>
    <w:rsid w:val="00DB065B"/>
    <w:rsid w:val="00DB0B7D"/>
    <w:rsid w:val="00DB6A93"/>
    <w:rsid w:val="00DB7BCB"/>
    <w:rsid w:val="00DB7FA0"/>
    <w:rsid w:val="00DC06B4"/>
    <w:rsid w:val="00DC1449"/>
    <w:rsid w:val="00DC2A32"/>
    <w:rsid w:val="00DC2ACB"/>
    <w:rsid w:val="00DC3BE1"/>
    <w:rsid w:val="00DC3DCE"/>
    <w:rsid w:val="00DC519E"/>
    <w:rsid w:val="00DC5543"/>
    <w:rsid w:val="00DC677F"/>
    <w:rsid w:val="00DC73AF"/>
    <w:rsid w:val="00DD0D29"/>
    <w:rsid w:val="00DD2000"/>
    <w:rsid w:val="00DD2656"/>
    <w:rsid w:val="00DD2AEC"/>
    <w:rsid w:val="00DD4D5C"/>
    <w:rsid w:val="00DD7A97"/>
    <w:rsid w:val="00DD7B3A"/>
    <w:rsid w:val="00DE03D3"/>
    <w:rsid w:val="00DE1409"/>
    <w:rsid w:val="00DE1E94"/>
    <w:rsid w:val="00DE258D"/>
    <w:rsid w:val="00DE30E8"/>
    <w:rsid w:val="00DE5D1C"/>
    <w:rsid w:val="00DE66F6"/>
    <w:rsid w:val="00DE7A69"/>
    <w:rsid w:val="00DE7C04"/>
    <w:rsid w:val="00DF1855"/>
    <w:rsid w:val="00DF1A0C"/>
    <w:rsid w:val="00DF24CA"/>
    <w:rsid w:val="00DF2A0C"/>
    <w:rsid w:val="00DF35C3"/>
    <w:rsid w:val="00DF44E2"/>
    <w:rsid w:val="00DF55A8"/>
    <w:rsid w:val="00DF6A28"/>
    <w:rsid w:val="00E005EE"/>
    <w:rsid w:val="00E00B07"/>
    <w:rsid w:val="00E022A3"/>
    <w:rsid w:val="00E0626A"/>
    <w:rsid w:val="00E10248"/>
    <w:rsid w:val="00E14D01"/>
    <w:rsid w:val="00E15153"/>
    <w:rsid w:val="00E163D1"/>
    <w:rsid w:val="00E23581"/>
    <w:rsid w:val="00E27D27"/>
    <w:rsid w:val="00E318DE"/>
    <w:rsid w:val="00E32FE4"/>
    <w:rsid w:val="00E33D46"/>
    <w:rsid w:val="00E34F19"/>
    <w:rsid w:val="00E3546F"/>
    <w:rsid w:val="00E3593F"/>
    <w:rsid w:val="00E41B7A"/>
    <w:rsid w:val="00E464B7"/>
    <w:rsid w:val="00E477BC"/>
    <w:rsid w:val="00E50C40"/>
    <w:rsid w:val="00E524BA"/>
    <w:rsid w:val="00E5387F"/>
    <w:rsid w:val="00E5508D"/>
    <w:rsid w:val="00E6222B"/>
    <w:rsid w:val="00E62ADE"/>
    <w:rsid w:val="00E65377"/>
    <w:rsid w:val="00E662E1"/>
    <w:rsid w:val="00E663CF"/>
    <w:rsid w:val="00E67B2E"/>
    <w:rsid w:val="00E70549"/>
    <w:rsid w:val="00E70BC3"/>
    <w:rsid w:val="00E73270"/>
    <w:rsid w:val="00E7675B"/>
    <w:rsid w:val="00E8356E"/>
    <w:rsid w:val="00E84102"/>
    <w:rsid w:val="00E855D3"/>
    <w:rsid w:val="00E92594"/>
    <w:rsid w:val="00E92956"/>
    <w:rsid w:val="00E9428C"/>
    <w:rsid w:val="00E94777"/>
    <w:rsid w:val="00E95D51"/>
    <w:rsid w:val="00E97743"/>
    <w:rsid w:val="00EA2DD6"/>
    <w:rsid w:val="00EA41F9"/>
    <w:rsid w:val="00EA6894"/>
    <w:rsid w:val="00EB0DF7"/>
    <w:rsid w:val="00EB1DD7"/>
    <w:rsid w:val="00EB4A5E"/>
    <w:rsid w:val="00EC48E3"/>
    <w:rsid w:val="00EC5ECC"/>
    <w:rsid w:val="00EC6555"/>
    <w:rsid w:val="00EC6A8C"/>
    <w:rsid w:val="00ED13E7"/>
    <w:rsid w:val="00ED1BBF"/>
    <w:rsid w:val="00ED2127"/>
    <w:rsid w:val="00ED3CF8"/>
    <w:rsid w:val="00ED44FA"/>
    <w:rsid w:val="00ED496F"/>
    <w:rsid w:val="00ED5091"/>
    <w:rsid w:val="00ED59D9"/>
    <w:rsid w:val="00ED7458"/>
    <w:rsid w:val="00ED7E46"/>
    <w:rsid w:val="00EE0A33"/>
    <w:rsid w:val="00EE29CC"/>
    <w:rsid w:val="00EE3248"/>
    <w:rsid w:val="00EE78EC"/>
    <w:rsid w:val="00EF01B6"/>
    <w:rsid w:val="00EF08DA"/>
    <w:rsid w:val="00EF13AC"/>
    <w:rsid w:val="00EF2499"/>
    <w:rsid w:val="00EF2529"/>
    <w:rsid w:val="00EF4F48"/>
    <w:rsid w:val="00EF5A40"/>
    <w:rsid w:val="00F00511"/>
    <w:rsid w:val="00F010B0"/>
    <w:rsid w:val="00F011FF"/>
    <w:rsid w:val="00F03B7E"/>
    <w:rsid w:val="00F0453A"/>
    <w:rsid w:val="00F05EC1"/>
    <w:rsid w:val="00F068CE"/>
    <w:rsid w:val="00F07C71"/>
    <w:rsid w:val="00F106E6"/>
    <w:rsid w:val="00F11FC6"/>
    <w:rsid w:val="00F1295B"/>
    <w:rsid w:val="00F143D6"/>
    <w:rsid w:val="00F1443D"/>
    <w:rsid w:val="00F1672E"/>
    <w:rsid w:val="00F20F17"/>
    <w:rsid w:val="00F21774"/>
    <w:rsid w:val="00F21904"/>
    <w:rsid w:val="00F22E5A"/>
    <w:rsid w:val="00F2378B"/>
    <w:rsid w:val="00F2496B"/>
    <w:rsid w:val="00F26BE6"/>
    <w:rsid w:val="00F30BA1"/>
    <w:rsid w:val="00F32BE2"/>
    <w:rsid w:val="00F33AC7"/>
    <w:rsid w:val="00F350A3"/>
    <w:rsid w:val="00F434C9"/>
    <w:rsid w:val="00F45BA5"/>
    <w:rsid w:val="00F463C6"/>
    <w:rsid w:val="00F46C9E"/>
    <w:rsid w:val="00F47C9F"/>
    <w:rsid w:val="00F5350E"/>
    <w:rsid w:val="00F5616B"/>
    <w:rsid w:val="00F566B4"/>
    <w:rsid w:val="00F56FD8"/>
    <w:rsid w:val="00F6597F"/>
    <w:rsid w:val="00F67A61"/>
    <w:rsid w:val="00F707DB"/>
    <w:rsid w:val="00F73011"/>
    <w:rsid w:val="00F75DB8"/>
    <w:rsid w:val="00F77595"/>
    <w:rsid w:val="00F7774D"/>
    <w:rsid w:val="00F8146E"/>
    <w:rsid w:val="00F834A9"/>
    <w:rsid w:val="00F83A81"/>
    <w:rsid w:val="00F860FE"/>
    <w:rsid w:val="00F9043D"/>
    <w:rsid w:val="00F90CE3"/>
    <w:rsid w:val="00F91AFE"/>
    <w:rsid w:val="00F96400"/>
    <w:rsid w:val="00FA1057"/>
    <w:rsid w:val="00FA22BB"/>
    <w:rsid w:val="00FA260C"/>
    <w:rsid w:val="00FA2930"/>
    <w:rsid w:val="00FA3B4A"/>
    <w:rsid w:val="00FA5E47"/>
    <w:rsid w:val="00FB05C8"/>
    <w:rsid w:val="00FB4C37"/>
    <w:rsid w:val="00FC067F"/>
    <w:rsid w:val="00FC0741"/>
    <w:rsid w:val="00FC1108"/>
    <w:rsid w:val="00FC18AC"/>
    <w:rsid w:val="00FC26AD"/>
    <w:rsid w:val="00FC6D4C"/>
    <w:rsid w:val="00FC6E2D"/>
    <w:rsid w:val="00FC70C2"/>
    <w:rsid w:val="00FC73B7"/>
    <w:rsid w:val="00FD0E37"/>
    <w:rsid w:val="00FD10A2"/>
    <w:rsid w:val="00FD4F99"/>
    <w:rsid w:val="00FE0794"/>
    <w:rsid w:val="00FE2489"/>
    <w:rsid w:val="00FF1238"/>
    <w:rsid w:val="00FF168F"/>
    <w:rsid w:val="00FF22FC"/>
    <w:rsid w:val="00FF6127"/>
    <w:rsid w:val="01836851"/>
    <w:rsid w:val="022F44F6"/>
    <w:rsid w:val="02530552"/>
    <w:rsid w:val="0298345E"/>
    <w:rsid w:val="02A876BC"/>
    <w:rsid w:val="033716AC"/>
    <w:rsid w:val="0355751B"/>
    <w:rsid w:val="0388607C"/>
    <w:rsid w:val="03B901F3"/>
    <w:rsid w:val="03C5029D"/>
    <w:rsid w:val="03CE135F"/>
    <w:rsid w:val="04503016"/>
    <w:rsid w:val="05F41902"/>
    <w:rsid w:val="0638605E"/>
    <w:rsid w:val="07493125"/>
    <w:rsid w:val="074C48B6"/>
    <w:rsid w:val="07575CBC"/>
    <w:rsid w:val="076D31A9"/>
    <w:rsid w:val="07AD0B92"/>
    <w:rsid w:val="07B75C91"/>
    <w:rsid w:val="082239BA"/>
    <w:rsid w:val="08661B3C"/>
    <w:rsid w:val="0941707D"/>
    <w:rsid w:val="09632F04"/>
    <w:rsid w:val="09C11F9B"/>
    <w:rsid w:val="0A58238E"/>
    <w:rsid w:val="0ABD2E93"/>
    <w:rsid w:val="0B71525C"/>
    <w:rsid w:val="0BB11FC0"/>
    <w:rsid w:val="0C377076"/>
    <w:rsid w:val="0C996282"/>
    <w:rsid w:val="0CF31E21"/>
    <w:rsid w:val="0D89030F"/>
    <w:rsid w:val="0D964E92"/>
    <w:rsid w:val="0F523B16"/>
    <w:rsid w:val="0F6A5636"/>
    <w:rsid w:val="10355721"/>
    <w:rsid w:val="103A6683"/>
    <w:rsid w:val="10616E27"/>
    <w:rsid w:val="106D6166"/>
    <w:rsid w:val="10A26B88"/>
    <w:rsid w:val="10A5192F"/>
    <w:rsid w:val="10A808F0"/>
    <w:rsid w:val="10C93249"/>
    <w:rsid w:val="10D961AC"/>
    <w:rsid w:val="11F12C23"/>
    <w:rsid w:val="1252677A"/>
    <w:rsid w:val="12546EFE"/>
    <w:rsid w:val="132D4AC7"/>
    <w:rsid w:val="140F5011"/>
    <w:rsid w:val="145D3C47"/>
    <w:rsid w:val="148837D5"/>
    <w:rsid w:val="153567AC"/>
    <w:rsid w:val="15750C84"/>
    <w:rsid w:val="15A91634"/>
    <w:rsid w:val="15BE0412"/>
    <w:rsid w:val="15C618FE"/>
    <w:rsid w:val="16220280"/>
    <w:rsid w:val="16573DDD"/>
    <w:rsid w:val="173C3312"/>
    <w:rsid w:val="177A0B1D"/>
    <w:rsid w:val="17AA3810"/>
    <w:rsid w:val="18AC6A4A"/>
    <w:rsid w:val="19D92D1F"/>
    <w:rsid w:val="1A2A7536"/>
    <w:rsid w:val="1A6E7CBD"/>
    <w:rsid w:val="1A780381"/>
    <w:rsid w:val="1B181D35"/>
    <w:rsid w:val="1B8142DB"/>
    <w:rsid w:val="1BA07A43"/>
    <w:rsid w:val="1C0B3DF9"/>
    <w:rsid w:val="1CA50563"/>
    <w:rsid w:val="1CBD6DB1"/>
    <w:rsid w:val="1D044FC5"/>
    <w:rsid w:val="1D251225"/>
    <w:rsid w:val="1E8B21DD"/>
    <w:rsid w:val="1F30537E"/>
    <w:rsid w:val="1F9C2003"/>
    <w:rsid w:val="1FD6407B"/>
    <w:rsid w:val="21F11175"/>
    <w:rsid w:val="221755E4"/>
    <w:rsid w:val="237A29A6"/>
    <w:rsid w:val="23D53C74"/>
    <w:rsid w:val="24BF4761"/>
    <w:rsid w:val="24FA7EDB"/>
    <w:rsid w:val="25026B5E"/>
    <w:rsid w:val="253643EF"/>
    <w:rsid w:val="25597CAA"/>
    <w:rsid w:val="257B3EAB"/>
    <w:rsid w:val="25AF428C"/>
    <w:rsid w:val="25B018C1"/>
    <w:rsid w:val="2640254F"/>
    <w:rsid w:val="2645258A"/>
    <w:rsid w:val="2681666D"/>
    <w:rsid w:val="26EA6238"/>
    <w:rsid w:val="27024ACB"/>
    <w:rsid w:val="270B66DE"/>
    <w:rsid w:val="27132695"/>
    <w:rsid w:val="27A80299"/>
    <w:rsid w:val="27C3799C"/>
    <w:rsid w:val="27D50076"/>
    <w:rsid w:val="28034266"/>
    <w:rsid w:val="284F7F6E"/>
    <w:rsid w:val="293918F2"/>
    <w:rsid w:val="298A1938"/>
    <w:rsid w:val="29B62FE8"/>
    <w:rsid w:val="2AE257FA"/>
    <w:rsid w:val="2B457BAF"/>
    <w:rsid w:val="2BAB641A"/>
    <w:rsid w:val="2C222466"/>
    <w:rsid w:val="2C792E8D"/>
    <w:rsid w:val="2C9755D1"/>
    <w:rsid w:val="2D5D751A"/>
    <w:rsid w:val="2D784605"/>
    <w:rsid w:val="2E3F2E23"/>
    <w:rsid w:val="2EBF4FCE"/>
    <w:rsid w:val="2EDA775E"/>
    <w:rsid w:val="2F4816AA"/>
    <w:rsid w:val="30530E21"/>
    <w:rsid w:val="305F41C0"/>
    <w:rsid w:val="30C5749B"/>
    <w:rsid w:val="319429F9"/>
    <w:rsid w:val="32093A6D"/>
    <w:rsid w:val="322C170A"/>
    <w:rsid w:val="32303E64"/>
    <w:rsid w:val="331E6EFC"/>
    <w:rsid w:val="335A7D63"/>
    <w:rsid w:val="34165D28"/>
    <w:rsid w:val="34E01435"/>
    <w:rsid w:val="35A3516D"/>
    <w:rsid w:val="363C7DAE"/>
    <w:rsid w:val="367A05B7"/>
    <w:rsid w:val="36AF1319"/>
    <w:rsid w:val="372E7AE7"/>
    <w:rsid w:val="373131EB"/>
    <w:rsid w:val="37813CBE"/>
    <w:rsid w:val="388A7588"/>
    <w:rsid w:val="38945445"/>
    <w:rsid w:val="38F51E0B"/>
    <w:rsid w:val="39612C28"/>
    <w:rsid w:val="39FA499B"/>
    <w:rsid w:val="3B2B76BB"/>
    <w:rsid w:val="3B7442C2"/>
    <w:rsid w:val="3C082F2E"/>
    <w:rsid w:val="3C7F3663"/>
    <w:rsid w:val="3C9A069D"/>
    <w:rsid w:val="3CE700B7"/>
    <w:rsid w:val="40080F85"/>
    <w:rsid w:val="42261D9D"/>
    <w:rsid w:val="428325DE"/>
    <w:rsid w:val="42D7160B"/>
    <w:rsid w:val="42DA16C9"/>
    <w:rsid w:val="441C4B6F"/>
    <w:rsid w:val="44B26067"/>
    <w:rsid w:val="451C7999"/>
    <w:rsid w:val="453D2B80"/>
    <w:rsid w:val="45965D29"/>
    <w:rsid w:val="45E001A5"/>
    <w:rsid w:val="46142E45"/>
    <w:rsid w:val="4651118B"/>
    <w:rsid w:val="46644936"/>
    <w:rsid w:val="46AD656B"/>
    <w:rsid w:val="47020B79"/>
    <w:rsid w:val="475A6BE2"/>
    <w:rsid w:val="47E53D3D"/>
    <w:rsid w:val="48B22B33"/>
    <w:rsid w:val="48C51F38"/>
    <w:rsid w:val="49827566"/>
    <w:rsid w:val="4A2E4C9E"/>
    <w:rsid w:val="4A335C5B"/>
    <w:rsid w:val="4A7A257F"/>
    <w:rsid w:val="4B80231F"/>
    <w:rsid w:val="4C2F5572"/>
    <w:rsid w:val="4C5730B5"/>
    <w:rsid w:val="4CD12ECB"/>
    <w:rsid w:val="4DE02204"/>
    <w:rsid w:val="4DE2468A"/>
    <w:rsid w:val="4DF00617"/>
    <w:rsid w:val="4E8A0164"/>
    <w:rsid w:val="4EDC138F"/>
    <w:rsid w:val="4F8F7628"/>
    <w:rsid w:val="509E6659"/>
    <w:rsid w:val="50B47890"/>
    <w:rsid w:val="50DC2070"/>
    <w:rsid w:val="52771887"/>
    <w:rsid w:val="528A3AB1"/>
    <w:rsid w:val="540D7609"/>
    <w:rsid w:val="54EF7759"/>
    <w:rsid w:val="55363A21"/>
    <w:rsid w:val="557B4DA1"/>
    <w:rsid w:val="5696318C"/>
    <w:rsid w:val="579233CD"/>
    <w:rsid w:val="57B54EDD"/>
    <w:rsid w:val="58193500"/>
    <w:rsid w:val="59400657"/>
    <w:rsid w:val="5AF97CFD"/>
    <w:rsid w:val="5B536FE7"/>
    <w:rsid w:val="5B9B2D18"/>
    <w:rsid w:val="5C6376FF"/>
    <w:rsid w:val="5CE259A0"/>
    <w:rsid w:val="5D391241"/>
    <w:rsid w:val="5EBC3313"/>
    <w:rsid w:val="5F0C3E73"/>
    <w:rsid w:val="5F22657B"/>
    <w:rsid w:val="5F2A4036"/>
    <w:rsid w:val="5F492571"/>
    <w:rsid w:val="5F621017"/>
    <w:rsid w:val="5F921174"/>
    <w:rsid w:val="5FAD0C4B"/>
    <w:rsid w:val="60275C5A"/>
    <w:rsid w:val="6099013D"/>
    <w:rsid w:val="61832268"/>
    <w:rsid w:val="61AB4FC8"/>
    <w:rsid w:val="61D82842"/>
    <w:rsid w:val="622C3D58"/>
    <w:rsid w:val="635775BA"/>
    <w:rsid w:val="63D26DD5"/>
    <w:rsid w:val="63F1494F"/>
    <w:rsid w:val="649B4382"/>
    <w:rsid w:val="64C506EB"/>
    <w:rsid w:val="66612555"/>
    <w:rsid w:val="66795476"/>
    <w:rsid w:val="671348C0"/>
    <w:rsid w:val="673F4F62"/>
    <w:rsid w:val="6809062C"/>
    <w:rsid w:val="686B7665"/>
    <w:rsid w:val="686F051B"/>
    <w:rsid w:val="68704393"/>
    <w:rsid w:val="6A9A370F"/>
    <w:rsid w:val="6AA61217"/>
    <w:rsid w:val="6AE56D34"/>
    <w:rsid w:val="6B6654C2"/>
    <w:rsid w:val="6C96285F"/>
    <w:rsid w:val="6C9C2AA0"/>
    <w:rsid w:val="6DA433B2"/>
    <w:rsid w:val="6DD41E30"/>
    <w:rsid w:val="6DFE03C3"/>
    <w:rsid w:val="6EAD64A7"/>
    <w:rsid w:val="6F7227FE"/>
    <w:rsid w:val="712F604A"/>
    <w:rsid w:val="71717B05"/>
    <w:rsid w:val="718519E3"/>
    <w:rsid w:val="722C5823"/>
    <w:rsid w:val="724C1E18"/>
    <w:rsid w:val="72987642"/>
    <w:rsid w:val="72F56EA4"/>
    <w:rsid w:val="72FD129C"/>
    <w:rsid w:val="73C836A2"/>
    <w:rsid w:val="740F334E"/>
    <w:rsid w:val="74F44556"/>
    <w:rsid w:val="75EE1C31"/>
    <w:rsid w:val="75F222D6"/>
    <w:rsid w:val="76AA5AC0"/>
    <w:rsid w:val="76C96D2E"/>
    <w:rsid w:val="76D95D34"/>
    <w:rsid w:val="76FC2314"/>
    <w:rsid w:val="774B5ED8"/>
    <w:rsid w:val="7774277B"/>
    <w:rsid w:val="77E532B7"/>
    <w:rsid w:val="77F00699"/>
    <w:rsid w:val="7813074E"/>
    <w:rsid w:val="7852191F"/>
    <w:rsid w:val="78835BD8"/>
    <w:rsid w:val="789E02A6"/>
    <w:rsid w:val="797719E1"/>
    <w:rsid w:val="7997382E"/>
    <w:rsid w:val="7A4100C9"/>
    <w:rsid w:val="7A852E0F"/>
    <w:rsid w:val="7ABF6A1D"/>
    <w:rsid w:val="7B1323FF"/>
    <w:rsid w:val="7B54497D"/>
    <w:rsid w:val="7BBF7685"/>
    <w:rsid w:val="7C3C6327"/>
    <w:rsid w:val="7C8D0E15"/>
    <w:rsid w:val="7DA90BDA"/>
    <w:rsid w:val="7E5E7AE7"/>
    <w:rsid w:val="7F136161"/>
    <w:rsid w:val="7FBC5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qFormat="1" w:uiPriority="99" w:semiHidden="0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contextualSpacing/>
      <w:jc w:val="both"/>
    </w:pPr>
    <w:rPr>
      <w:rFonts w:ascii="Calibri" w:hAnsi="Calibri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8"/>
    <w:qFormat/>
    <w:uiPriority w:val="9"/>
    <w:pPr>
      <w:keepNext/>
      <w:keepLines/>
      <w:numPr>
        <w:ilvl w:val="0"/>
        <w:numId w:val="1"/>
      </w:numPr>
      <w:spacing w:before="340" w:after="330"/>
      <w:ind w:firstLine="0" w:firstLineChars="0"/>
      <w:outlineLvl w:val="0"/>
    </w:pPr>
    <w:rPr>
      <w:b/>
      <w:bCs/>
      <w:kern w:val="44"/>
      <w:sz w:val="44"/>
      <w:szCs w:val="44"/>
      <w:lang w:val="zh-CN"/>
    </w:rPr>
  </w:style>
  <w:style w:type="paragraph" w:styleId="3">
    <w:name w:val="heading 2"/>
    <w:basedOn w:val="1"/>
    <w:next w:val="1"/>
    <w:link w:val="29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ind w:firstLine="0" w:firstLineChars="0"/>
      <w:outlineLvl w:val="1"/>
    </w:pPr>
    <w:rPr>
      <w:rFonts w:ascii="Cambria" w:hAnsi="Cambria"/>
      <w:b/>
      <w:bCs/>
      <w:sz w:val="32"/>
      <w:szCs w:val="32"/>
      <w:lang w:val="zh-CN"/>
    </w:rPr>
  </w:style>
  <w:style w:type="paragraph" w:styleId="4">
    <w:name w:val="heading 3"/>
    <w:basedOn w:val="1"/>
    <w:next w:val="1"/>
    <w:link w:val="30"/>
    <w:unhideWhenUsed/>
    <w:qFormat/>
    <w:uiPriority w:val="9"/>
    <w:pPr>
      <w:keepNext/>
      <w:keepLines/>
      <w:numPr>
        <w:ilvl w:val="2"/>
        <w:numId w:val="1"/>
      </w:numPr>
      <w:spacing w:line="415" w:lineRule="auto"/>
      <w:ind w:firstLine="0" w:firstLineChars="0"/>
      <w:outlineLvl w:val="2"/>
    </w:pPr>
    <w:rPr>
      <w:b/>
      <w:bCs/>
      <w:sz w:val="32"/>
      <w:szCs w:val="32"/>
      <w:lang w:val="zh-CN"/>
    </w:rPr>
  </w:style>
  <w:style w:type="paragraph" w:styleId="5">
    <w:name w:val="heading 4"/>
    <w:basedOn w:val="1"/>
    <w:next w:val="1"/>
    <w:link w:val="31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ind w:firstLine="0" w:firstLineChars="0"/>
      <w:outlineLvl w:val="3"/>
    </w:pPr>
    <w:rPr>
      <w:rFonts w:ascii="Cambria" w:hAnsi="Cambria"/>
      <w:b/>
      <w:bCs/>
      <w:kern w:val="0"/>
      <w:sz w:val="28"/>
      <w:szCs w:val="28"/>
      <w:lang w:val="zh-CN"/>
    </w:rPr>
  </w:style>
  <w:style w:type="paragraph" w:styleId="6">
    <w:name w:val="heading 5"/>
    <w:basedOn w:val="1"/>
    <w:next w:val="1"/>
    <w:link w:val="32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ind w:firstLine="0" w:firstLineChars="0"/>
      <w:outlineLvl w:val="4"/>
    </w:pPr>
    <w:rPr>
      <w:b/>
      <w:bCs/>
      <w:kern w:val="0"/>
      <w:sz w:val="28"/>
      <w:szCs w:val="28"/>
      <w:lang w:val="zh-CN"/>
    </w:rPr>
  </w:style>
  <w:style w:type="paragraph" w:styleId="7">
    <w:name w:val="heading 6"/>
    <w:basedOn w:val="1"/>
    <w:next w:val="1"/>
    <w:link w:val="33"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ind w:firstLine="0" w:firstLineChars="0"/>
      <w:outlineLvl w:val="5"/>
    </w:pPr>
    <w:rPr>
      <w:rFonts w:ascii="Cambria" w:hAnsi="Cambria"/>
      <w:b/>
      <w:bCs/>
      <w:kern w:val="0"/>
      <w:szCs w:val="24"/>
      <w:lang w:val="zh-CN"/>
    </w:rPr>
  </w:style>
  <w:style w:type="paragraph" w:styleId="8">
    <w:name w:val="heading 7"/>
    <w:basedOn w:val="1"/>
    <w:next w:val="1"/>
    <w:link w:val="34"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ind w:firstLine="0" w:firstLineChars="0"/>
      <w:outlineLvl w:val="6"/>
    </w:pPr>
    <w:rPr>
      <w:b/>
      <w:bCs/>
      <w:kern w:val="0"/>
      <w:szCs w:val="24"/>
      <w:lang w:val="zh-CN"/>
    </w:rPr>
  </w:style>
  <w:style w:type="paragraph" w:styleId="9">
    <w:name w:val="heading 8"/>
    <w:basedOn w:val="1"/>
    <w:next w:val="1"/>
    <w:link w:val="35"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ind w:firstLine="0" w:firstLineChars="0"/>
      <w:outlineLvl w:val="7"/>
    </w:pPr>
    <w:rPr>
      <w:rFonts w:ascii="Cambria" w:hAnsi="Cambria"/>
      <w:kern w:val="0"/>
      <w:szCs w:val="24"/>
      <w:lang w:val="zh-CN"/>
    </w:rPr>
  </w:style>
  <w:style w:type="paragraph" w:styleId="10">
    <w:name w:val="heading 9"/>
    <w:basedOn w:val="1"/>
    <w:next w:val="1"/>
    <w:link w:val="36"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ind w:firstLine="0" w:firstLineChars="0"/>
      <w:outlineLvl w:val="8"/>
    </w:pPr>
    <w:rPr>
      <w:rFonts w:ascii="Cambria" w:hAnsi="Cambria"/>
      <w:kern w:val="0"/>
      <w:sz w:val="20"/>
      <w:szCs w:val="21"/>
      <w:lang w:val="zh-CN"/>
    </w:rPr>
  </w:style>
  <w:style w:type="character" w:default="1" w:styleId="24">
    <w:name w:val="Default Paragraph Font"/>
    <w:semiHidden/>
    <w:unhideWhenUsed/>
    <w:uiPriority w:val="1"/>
  </w:style>
  <w:style w:type="table" w:default="1" w:styleId="2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unhideWhenUsed/>
    <w:qFormat/>
    <w:uiPriority w:val="35"/>
    <w:pPr>
      <w:spacing w:after="200" w:line="240" w:lineRule="auto"/>
      <w:ind w:firstLine="422"/>
      <w:jc w:val="center"/>
    </w:pPr>
    <w:rPr>
      <w:rFonts w:asciiTheme="minorEastAsia" w:hAnsiTheme="minorEastAsia" w:eastAsiaTheme="minorEastAsia"/>
      <w:b/>
      <w:iCs/>
      <w:sz w:val="21"/>
      <w:szCs w:val="18"/>
    </w:rPr>
  </w:style>
  <w:style w:type="paragraph" w:styleId="12">
    <w:name w:val="Document Map"/>
    <w:basedOn w:val="1"/>
    <w:link w:val="40"/>
    <w:unhideWhenUsed/>
    <w:qFormat/>
    <w:uiPriority w:val="99"/>
    <w:rPr>
      <w:rFonts w:ascii="宋体"/>
      <w:kern w:val="0"/>
      <w:sz w:val="18"/>
      <w:szCs w:val="18"/>
      <w:lang w:val="zh-CN"/>
    </w:rPr>
  </w:style>
  <w:style w:type="paragraph" w:styleId="13">
    <w:name w:val="annotation text"/>
    <w:basedOn w:val="1"/>
    <w:link w:val="44"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1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5">
    <w:name w:val="Balloon Text"/>
    <w:basedOn w:val="1"/>
    <w:link w:val="39"/>
    <w:unhideWhenUsed/>
    <w:qFormat/>
    <w:uiPriority w:val="99"/>
    <w:pPr>
      <w:spacing w:line="240" w:lineRule="auto"/>
    </w:pPr>
    <w:rPr>
      <w:kern w:val="0"/>
      <w:sz w:val="18"/>
      <w:szCs w:val="18"/>
      <w:lang w:val="zh-CN"/>
    </w:rPr>
  </w:style>
  <w:style w:type="paragraph" w:styleId="16">
    <w:name w:val="footer"/>
    <w:basedOn w:val="1"/>
    <w:link w:val="42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  <w:lang w:val="zh-CN"/>
    </w:rPr>
  </w:style>
  <w:style w:type="paragraph" w:styleId="17">
    <w:name w:val="header"/>
    <w:basedOn w:val="1"/>
    <w:link w:val="4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  <w:lang w:val="zh-CN"/>
    </w:rPr>
  </w:style>
  <w:style w:type="paragraph" w:styleId="18">
    <w:name w:val="toc 1"/>
    <w:basedOn w:val="1"/>
    <w:next w:val="1"/>
    <w:unhideWhenUsed/>
    <w:qFormat/>
    <w:uiPriority w:val="39"/>
  </w:style>
  <w:style w:type="paragraph" w:styleId="19">
    <w:name w:val="table of figures"/>
    <w:basedOn w:val="1"/>
    <w:next w:val="1"/>
    <w:unhideWhenUsed/>
    <w:qFormat/>
    <w:uiPriority w:val="99"/>
    <w:pPr>
      <w:ind w:left="200" w:leftChars="200" w:hanging="200" w:hangingChars="200"/>
    </w:pPr>
  </w:style>
  <w:style w:type="paragraph" w:styleId="2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1">
    <w:name w:val="annotation subject"/>
    <w:basedOn w:val="13"/>
    <w:next w:val="13"/>
    <w:link w:val="45"/>
    <w:unhideWhenUsed/>
    <w:qFormat/>
    <w:uiPriority w:val="99"/>
    <w:rPr>
      <w:b/>
      <w:bCs/>
    </w:rPr>
  </w:style>
  <w:style w:type="table" w:styleId="23">
    <w:name w:val="Table Grid"/>
    <w:basedOn w:val="22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25">
    <w:name w:val="Emphasis"/>
    <w:basedOn w:val="24"/>
    <w:qFormat/>
    <w:uiPriority w:val="20"/>
    <w:rPr>
      <w:i/>
      <w:iCs/>
    </w:rPr>
  </w:style>
  <w:style w:type="character" w:styleId="26">
    <w:name w:val="Hyperlink"/>
    <w:basedOn w:val="2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7">
    <w:name w:val="annotation reference"/>
    <w:basedOn w:val="24"/>
    <w:unhideWhenUsed/>
    <w:qFormat/>
    <w:uiPriority w:val="99"/>
    <w:rPr>
      <w:sz w:val="16"/>
      <w:szCs w:val="16"/>
    </w:rPr>
  </w:style>
  <w:style w:type="character" w:customStyle="1" w:styleId="28">
    <w:name w:val="标题 1 字符"/>
    <w:link w:val="2"/>
    <w:qFormat/>
    <w:uiPriority w:val="9"/>
    <w:rPr>
      <w:rFonts w:ascii="Calibri" w:hAnsi="Calibri"/>
      <w:b/>
      <w:bCs/>
      <w:kern w:val="44"/>
      <w:sz w:val="44"/>
      <w:szCs w:val="44"/>
      <w:lang w:val="zh-CN"/>
    </w:rPr>
  </w:style>
  <w:style w:type="character" w:customStyle="1" w:styleId="29">
    <w:name w:val="标题 2 字符"/>
    <w:link w:val="3"/>
    <w:qFormat/>
    <w:uiPriority w:val="9"/>
    <w:rPr>
      <w:rFonts w:ascii="Cambria" w:hAnsi="Cambria"/>
      <w:b/>
      <w:bCs/>
      <w:kern w:val="2"/>
      <w:sz w:val="32"/>
      <w:szCs w:val="32"/>
      <w:lang w:val="zh-CN"/>
    </w:rPr>
  </w:style>
  <w:style w:type="character" w:customStyle="1" w:styleId="30">
    <w:name w:val="标题 3 字符"/>
    <w:link w:val="4"/>
    <w:qFormat/>
    <w:uiPriority w:val="9"/>
    <w:rPr>
      <w:rFonts w:ascii="Calibri" w:hAnsi="Calibri"/>
      <w:b/>
      <w:bCs/>
      <w:kern w:val="2"/>
      <w:sz w:val="32"/>
      <w:szCs w:val="32"/>
      <w:lang w:val="zh-CN"/>
    </w:rPr>
  </w:style>
  <w:style w:type="character" w:customStyle="1" w:styleId="31">
    <w:name w:val="标题 4 字符"/>
    <w:link w:val="5"/>
    <w:qFormat/>
    <w:uiPriority w:val="9"/>
    <w:rPr>
      <w:rFonts w:ascii="Cambria" w:hAnsi="Cambria"/>
      <w:b/>
      <w:bCs/>
      <w:sz w:val="28"/>
      <w:szCs w:val="28"/>
      <w:lang w:val="zh-CN"/>
    </w:rPr>
  </w:style>
  <w:style w:type="character" w:customStyle="1" w:styleId="32">
    <w:name w:val="标题 5 字符"/>
    <w:link w:val="6"/>
    <w:qFormat/>
    <w:uiPriority w:val="9"/>
    <w:rPr>
      <w:rFonts w:ascii="Calibri" w:hAnsi="Calibri"/>
      <w:b/>
      <w:bCs/>
      <w:sz w:val="28"/>
      <w:szCs w:val="28"/>
      <w:lang w:val="zh-CN"/>
    </w:rPr>
  </w:style>
  <w:style w:type="character" w:customStyle="1" w:styleId="33">
    <w:name w:val="标题 6 字符"/>
    <w:link w:val="7"/>
    <w:qFormat/>
    <w:uiPriority w:val="9"/>
    <w:rPr>
      <w:rFonts w:ascii="Cambria" w:hAnsi="Cambria"/>
      <w:b/>
      <w:bCs/>
      <w:sz w:val="24"/>
      <w:szCs w:val="24"/>
      <w:lang w:val="zh-CN"/>
    </w:rPr>
  </w:style>
  <w:style w:type="character" w:customStyle="1" w:styleId="34">
    <w:name w:val="标题 7 字符"/>
    <w:link w:val="8"/>
    <w:qFormat/>
    <w:uiPriority w:val="9"/>
    <w:rPr>
      <w:rFonts w:ascii="Calibri" w:hAnsi="Calibri"/>
      <w:b/>
      <w:bCs/>
      <w:sz w:val="24"/>
      <w:szCs w:val="24"/>
      <w:lang w:val="zh-CN"/>
    </w:rPr>
  </w:style>
  <w:style w:type="character" w:customStyle="1" w:styleId="35">
    <w:name w:val="标题 8 字符"/>
    <w:link w:val="9"/>
    <w:qFormat/>
    <w:uiPriority w:val="9"/>
    <w:rPr>
      <w:rFonts w:ascii="Cambria" w:hAnsi="Cambria"/>
      <w:sz w:val="24"/>
      <w:szCs w:val="24"/>
      <w:lang w:val="zh-CN"/>
    </w:rPr>
  </w:style>
  <w:style w:type="character" w:customStyle="1" w:styleId="36">
    <w:name w:val="标题 9 字符"/>
    <w:link w:val="10"/>
    <w:qFormat/>
    <w:uiPriority w:val="9"/>
    <w:rPr>
      <w:rFonts w:ascii="Cambria" w:hAnsi="Cambria"/>
      <w:szCs w:val="21"/>
      <w:lang w:val="zh-CN"/>
    </w:rPr>
  </w:style>
  <w:style w:type="paragraph" w:customStyle="1" w:styleId="37">
    <w:name w:val="列表段落1"/>
    <w:basedOn w:val="1"/>
    <w:qFormat/>
    <w:uiPriority w:val="34"/>
    <w:pPr>
      <w:ind w:firstLine="420"/>
    </w:pPr>
  </w:style>
  <w:style w:type="paragraph" w:customStyle="1" w:styleId="38">
    <w:name w:val="列出段落1"/>
    <w:basedOn w:val="1"/>
    <w:qFormat/>
    <w:uiPriority w:val="0"/>
    <w:pPr>
      <w:spacing w:line="240" w:lineRule="auto"/>
      <w:ind w:firstLine="420"/>
      <w:contextualSpacing w:val="0"/>
    </w:pPr>
    <w:rPr>
      <w:rFonts w:cs="黑体"/>
      <w:sz w:val="21"/>
    </w:rPr>
  </w:style>
  <w:style w:type="character" w:customStyle="1" w:styleId="39">
    <w:name w:val="批注框文本 字符"/>
    <w:link w:val="15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40">
    <w:name w:val="文档结构图 字符"/>
    <w:link w:val="12"/>
    <w:semiHidden/>
    <w:qFormat/>
    <w:uiPriority w:val="99"/>
    <w:rPr>
      <w:rFonts w:ascii="宋体" w:hAnsi="Calibri" w:eastAsia="宋体" w:cs="Times New Roman"/>
      <w:sz w:val="18"/>
      <w:szCs w:val="18"/>
    </w:rPr>
  </w:style>
  <w:style w:type="character" w:customStyle="1" w:styleId="41">
    <w:name w:val="页眉 字符"/>
    <w:link w:val="17"/>
    <w:qFormat/>
    <w:uiPriority w:val="99"/>
    <w:rPr>
      <w:kern w:val="2"/>
      <w:sz w:val="18"/>
      <w:szCs w:val="18"/>
    </w:rPr>
  </w:style>
  <w:style w:type="character" w:customStyle="1" w:styleId="42">
    <w:name w:val="页脚 字符"/>
    <w:link w:val="16"/>
    <w:qFormat/>
    <w:uiPriority w:val="99"/>
    <w:rPr>
      <w:kern w:val="2"/>
      <w:sz w:val="18"/>
      <w:szCs w:val="18"/>
    </w:rPr>
  </w:style>
  <w:style w:type="table" w:customStyle="1" w:styleId="43">
    <w:name w:val="网格型1"/>
    <w:basedOn w:val="22"/>
    <w:qFormat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44">
    <w:name w:val="批注文字 字符"/>
    <w:basedOn w:val="24"/>
    <w:link w:val="13"/>
    <w:semiHidden/>
    <w:qFormat/>
    <w:uiPriority w:val="99"/>
    <w:rPr>
      <w:kern w:val="2"/>
    </w:rPr>
  </w:style>
  <w:style w:type="character" w:customStyle="1" w:styleId="45">
    <w:name w:val="批注主题 字符"/>
    <w:basedOn w:val="44"/>
    <w:link w:val="21"/>
    <w:semiHidden/>
    <w:qFormat/>
    <w:uiPriority w:val="99"/>
    <w:rPr>
      <w:b/>
      <w:bCs/>
      <w:kern w:val="2"/>
    </w:rPr>
  </w:style>
  <w:style w:type="paragraph" w:customStyle="1" w:styleId="46">
    <w:name w:val="明显引用1"/>
    <w:basedOn w:val="1"/>
    <w:next w:val="1"/>
    <w:link w:val="47"/>
    <w:qFormat/>
    <w:uiPriority w:val="30"/>
    <w:pPr>
      <w:pBdr>
        <w:top w:val="single" w:color="4F81BD" w:themeColor="accent1" w:sz="4" w:space="10"/>
        <w:bottom w:val="single" w:color="4F81BD" w:themeColor="accent1" w:sz="4" w:space="10"/>
      </w:pBdr>
      <w:spacing w:before="360" w:after="360"/>
      <w:ind w:left="864" w:right="864"/>
      <w:jc w:val="center"/>
    </w:pPr>
    <w:rPr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47">
    <w:name w:val="明显引用 Char"/>
    <w:basedOn w:val="24"/>
    <w:link w:val="46"/>
    <w:qFormat/>
    <w:uiPriority w:val="30"/>
    <w:rPr>
      <w:i/>
      <w:iCs/>
      <w:color w:val="4F81BD" w:themeColor="accent1"/>
      <w:kern w:val="2"/>
      <w:sz w:val="24"/>
      <w:szCs w:val="22"/>
      <w14:textFill>
        <w14:solidFill>
          <w14:schemeClr w14:val="accent1"/>
        </w14:solidFill>
      </w14:textFill>
    </w:rPr>
  </w:style>
  <w:style w:type="character" w:customStyle="1" w:styleId="48">
    <w:name w:val="0级内容 Char Char"/>
    <w:link w:val="49"/>
    <w:qFormat/>
    <w:uiPriority w:val="0"/>
    <w:rPr>
      <w:rFonts w:ascii="宋体" w:hAnsi="宋体"/>
    </w:rPr>
  </w:style>
  <w:style w:type="paragraph" w:customStyle="1" w:styleId="49">
    <w:name w:val="0级内容"/>
    <w:basedOn w:val="1"/>
    <w:link w:val="48"/>
    <w:qFormat/>
    <w:uiPriority w:val="0"/>
    <w:pPr>
      <w:ind w:firstLine="420"/>
      <w:contextualSpacing w:val="0"/>
    </w:pPr>
    <w:rPr>
      <w:rFonts w:ascii="宋体" w:hAnsi="宋体"/>
      <w:kern w:val="0"/>
      <w:sz w:val="20"/>
      <w:szCs w:val="20"/>
    </w:rPr>
  </w:style>
  <w:style w:type="character" w:customStyle="1" w:styleId="50">
    <w:name w:val="P1 Char Char Char Char Char Char Char Char Char Char Char"/>
    <w:qFormat/>
    <w:uiPriority w:val="0"/>
    <w:rPr>
      <w:sz w:val="24"/>
      <w:lang w:val="en-US" w:eastAsia="en-US"/>
    </w:rPr>
  </w:style>
  <w:style w:type="paragraph" w:customStyle="1" w:styleId="51">
    <w:name w:val="列出段落2"/>
    <w:basedOn w:val="1"/>
    <w:qFormat/>
    <w:uiPriority w:val="0"/>
    <w:pPr>
      <w:spacing w:line="240" w:lineRule="auto"/>
      <w:ind w:firstLine="420"/>
      <w:contextualSpacing w:val="0"/>
    </w:pPr>
    <w:rPr>
      <w:rFonts w:cs="黑体"/>
      <w:sz w:val="21"/>
    </w:rPr>
  </w:style>
  <w:style w:type="paragraph" w:customStyle="1" w:styleId="52">
    <w:name w:val="修订1"/>
    <w:hidden/>
    <w:semiHidden/>
    <w:qFormat/>
    <w:uiPriority w:val="99"/>
    <w:rPr>
      <w:rFonts w:ascii="Calibri" w:hAnsi="Calibri" w:eastAsia="宋体" w:cs="Times New Roman"/>
      <w:kern w:val="2"/>
      <w:sz w:val="24"/>
      <w:szCs w:val="22"/>
      <w:lang w:val="en-US" w:eastAsia="zh-CN" w:bidi="ar-SA"/>
    </w:rPr>
  </w:style>
  <w:style w:type="character" w:customStyle="1" w:styleId="53">
    <w:name w:val="封面大标题 Char Char"/>
    <w:link w:val="54"/>
    <w:qFormat/>
    <w:uiPriority w:val="0"/>
    <w:rPr>
      <w:rFonts w:ascii="Times New Roman" w:hAnsi="Times New Roman" w:eastAsia="微软雅黑"/>
      <w:color w:val="FFFFFF"/>
      <w:sz w:val="144"/>
      <w:szCs w:val="144"/>
    </w:rPr>
  </w:style>
  <w:style w:type="paragraph" w:customStyle="1" w:styleId="54">
    <w:name w:val="封面大标题"/>
    <w:basedOn w:val="1"/>
    <w:link w:val="53"/>
    <w:qFormat/>
    <w:uiPriority w:val="0"/>
    <w:pPr>
      <w:spacing w:line="720" w:lineRule="auto"/>
      <w:ind w:firstLine="0" w:firstLineChars="0"/>
      <w:contextualSpacing w:val="0"/>
    </w:pPr>
    <w:rPr>
      <w:rFonts w:ascii="Times New Roman" w:hAnsi="Times New Roman" w:eastAsia="微软雅黑"/>
      <w:color w:val="FFFFFF"/>
      <w:kern w:val="0"/>
      <w:sz w:val="144"/>
      <w:szCs w:val="144"/>
    </w:rPr>
  </w:style>
  <w:style w:type="character" w:customStyle="1" w:styleId="55">
    <w:name w:val="封面副标题 Char Char"/>
    <w:link w:val="56"/>
    <w:qFormat/>
    <w:uiPriority w:val="0"/>
    <w:rPr>
      <w:rFonts w:ascii="Times New Roman" w:hAnsi="Times New Roman" w:eastAsia="微软雅黑"/>
      <w:color w:val="FFFFFF"/>
      <w:sz w:val="72"/>
      <w:szCs w:val="72"/>
    </w:rPr>
  </w:style>
  <w:style w:type="paragraph" w:customStyle="1" w:styleId="56">
    <w:name w:val="封面副标题"/>
    <w:basedOn w:val="1"/>
    <w:link w:val="55"/>
    <w:qFormat/>
    <w:uiPriority w:val="0"/>
    <w:pPr>
      <w:tabs>
        <w:tab w:val="left" w:pos="9639"/>
      </w:tabs>
      <w:spacing w:line="276" w:lineRule="auto"/>
      <w:ind w:right="527" w:firstLine="0" w:firstLineChars="0"/>
      <w:contextualSpacing w:val="0"/>
      <w:jc w:val="right"/>
    </w:pPr>
    <w:rPr>
      <w:rFonts w:ascii="Times New Roman" w:hAnsi="Times New Roman" w:eastAsia="微软雅黑"/>
      <w:color w:val="FFFFFF"/>
      <w:kern w:val="0"/>
      <w:sz w:val="72"/>
      <w:szCs w:val="72"/>
    </w:rPr>
  </w:style>
  <w:style w:type="paragraph" w:customStyle="1" w:styleId="57">
    <w:name w:val="封面公司中文名称"/>
    <w:basedOn w:val="1"/>
    <w:qFormat/>
    <w:uiPriority w:val="99"/>
    <w:pPr>
      <w:widowControl/>
      <w:spacing w:line="240" w:lineRule="auto"/>
      <w:contextualSpacing w:val="0"/>
      <w:jc w:val="center"/>
    </w:pPr>
    <w:rPr>
      <w:rFonts w:ascii="Consolas" w:hAnsi="Consolas" w:eastAsia="黑体" w:cs="Consolas"/>
      <w:kern w:val="0"/>
      <w:sz w:val="36"/>
      <w:szCs w:val="3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7" Type="http://schemas.openxmlformats.org/officeDocument/2006/relationships/fontTable" Target="fontTable.xml"/><Relationship Id="rId86" Type="http://schemas.openxmlformats.org/officeDocument/2006/relationships/customXml" Target="../customXml/item2.xml"/><Relationship Id="rId85" Type="http://schemas.openxmlformats.org/officeDocument/2006/relationships/numbering" Target="numbering.xml"/><Relationship Id="rId84" Type="http://schemas.openxmlformats.org/officeDocument/2006/relationships/customXml" Target="../customXml/item1.xml"/><Relationship Id="rId83" Type="http://schemas.openxmlformats.org/officeDocument/2006/relationships/image" Target="media/image74.png"/><Relationship Id="rId82" Type="http://schemas.openxmlformats.org/officeDocument/2006/relationships/image" Target="media/image73.png"/><Relationship Id="rId81" Type="http://schemas.openxmlformats.org/officeDocument/2006/relationships/image" Target="media/image72.png"/><Relationship Id="rId80" Type="http://schemas.openxmlformats.org/officeDocument/2006/relationships/image" Target="media/image71.png"/><Relationship Id="rId8" Type="http://schemas.openxmlformats.org/officeDocument/2006/relationships/footer" Target="footer3.xml"/><Relationship Id="rId79" Type="http://schemas.openxmlformats.org/officeDocument/2006/relationships/image" Target="media/image70.png"/><Relationship Id="rId78" Type="http://schemas.openxmlformats.org/officeDocument/2006/relationships/image" Target="media/image69.png"/><Relationship Id="rId77" Type="http://schemas.openxmlformats.org/officeDocument/2006/relationships/image" Target="media/image68.png"/><Relationship Id="rId76" Type="http://schemas.openxmlformats.org/officeDocument/2006/relationships/image" Target="media/image67.png"/><Relationship Id="rId75" Type="http://schemas.openxmlformats.org/officeDocument/2006/relationships/image" Target="media/image66.png"/><Relationship Id="rId74" Type="http://schemas.openxmlformats.org/officeDocument/2006/relationships/image" Target="media/image65.png"/><Relationship Id="rId73" Type="http://schemas.openxmlformats.org/officeDocument/2006/relationships/image" Target="media/image64.png"/><Relationship Id="rId72" Type="http://schemas.openxmlformats.org/officeDocument/2006/relationships/image" Target="media/image63.png"/><Relationship Id="rId71" Type="http://schemas.openxmlformats.org/officeDocument/2006/relationships/image" Target="media/image62.png"/><Relationship Id="rId70" Type="http://schemas.openxmlformats.org/officeDocument/2006/relationships/image" Target="media/image61.png"/><Relationship Id="rId7" Type="http://schemas.openxmlformats.org/officeDocument/2006/relationships/footer" Target="footer2.xml"/><Relationship Id="rId69" Type="http://schemas.openxmlformats.org/officeDocument/2006/relationships/image" Target="media/image60.png"/><Relationship Id="rId68" Type="http://schemas.openxmlformats.org/officeDocument/2006/relationships/image" Target="media/image59.png"/><Relationship Id="rId67" Type="http://schemas.openxmlformats.org/officeDocument/2006/relationships/image" Target="media/image58.png"/><Relationship Id="rId66" Type="http://schemas.openxmlformats.org/officeDocument/2006/relationships/image" Target="media/image57.png"/><Relationship Id="rId65" Type="http://schemas.openxmlformats.org/officeDocument/2006/relationships/image" Target="media/image56.png"/><Relationship Id="rId64" Type="http://schemas.openxmlformats.org/officeDocument/2006/relationships/image" Target="media/image55.png"/><Relationship Id="rId63" Type="http://schemas.openxmlformats.org/officeDocument/2006/relationships/image" Target="media/image54.png"/><Relationship Id="rId62" Type="http://schemas.openxmlformats.org/officeDocument/2006/relationships/image" Target="media/image53.png"/><Relationship Id="rId61" Type="http://schemas.openxmlformats.org/officeDocument/2006/relationships/image" Target="media/image52.png"/><Relationship Id="rId60" Type="http://schemas.openxmlformats.org/officeDocument/2006/relationships/image" Target="media/image51.png"/><Relationship Id="rId6" Type="http://schemas.openxmlformats.org/officeDocument/2006/relationships/footer" Target="footer1.xml"/><Relationship Id="rId59" Type="http://schemas.openxmlformats.org/officeDocument/2006/relationships/image" Target="media/image50.png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header" Target="header3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4B79767-8BF1-4854-8B21-7815E265DAA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85</Pages>
  <Words>2849</Words>
  <Characters>16243</Characters>
  <Lines>135</Lines>
  <Paragraphs>38</Paragraphs>
  <TotalTime>23</TotalTime>
  <ScaleCrop>false</ScaleCrop>
  <LinksUpToDate>false</LinksUpToDate>
  <CharactersWithSpaces>19054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2013-05-14T03:21:00Z</dcterms:created>
  <dc:creator>汪拥军</dc:creator>
  <cp:lastModifiedBy>Administrator</cp:lastModifiedBy>
  <dcterms:modified xsi:type="dcterms:W3CDTF">2020-11-19T10:35:46Z</dcterms:modified>
  <cp:revision>621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